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3.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AA867D">
      <w:pPr>
        <w:pStyle w:val="39"/>
        <w:rPr>
          <w:rFonts w:hint="eastAsia"/>
        </w:rPr>
      </w:pPr>
      <w:r>
        <w:rPr>
          <w:rFonts w:hint="eastAsia"/>
        </w:rPr>
        <w:t>附表1.临床问题1纳入文献基线特征表</w:t>
      </w:r>
    </w:p>
    <w:tbl>
      <w:tblPr>
        <w:tblStyle w:val="15"/>
        <w:tblW w:w="14175" w:type="dxa"/>
        <w:tblInd w:w="0" w:type="dxa"/>
        <w:shd w:val="clear" w:color="auto" w:fill="FFFFFF" w:themeFill="background1"/>
        <w:tblLayout w:type="fixed"/>
        <w:tblCellMar>
          <w:top w:w="0" w:type="dxa"/>
          <w:left w:w="108" w:type="dxa"/>
          <w:bottom w:w="0" w:type="dxa"/>
          <w:right w:w="108" w:type="dxa"/>
        </w:tblCellMar>
      </w:tblPr>
      <w:tblGrid>
        <w:gridCol w:w="1141"/>
        <w:gridCol w:w="1902"/>
        <w:gridCol w:w="1373"/>
        <w:gridCol w:w="2409"/>
        <w:gridCol w:w="3239"/>
        <w:gridCol w:w="2007"/>
        <w:gridCol w:w="1164"/>
        <w:gridCol w:w="940"/>
      </w:tblGrid>
      <w:tr w14:paraId="41E87CBC">
        <w:tblPrEx>
          <w:shd w:val="clear" w:color="auto" w:fill="FFFFFF" w:themeFill="background1"/>
          <w:tblCellMar>
            <w:top w:w="0" w:type="dxa"/>
            <w:left w:w="108" w:type="dxa"/>
            <w:bottom w:w="0" w:type="dxa"/>
            <w:right w:w="108" w:type="dxa"/>
          </w:tblCellMar>
        </w:tblPrEx>
        <w:trPr>
          <w:trHeight w:val="0" w:hRule="atLeast"/>
          <w:tblHeader/>
        </w:trPr>
        <w:tc>
          <w:tcPr>
            <w:tcW w:w="1141" w:type="dxa"/>
            <w:tcBorders>
              <w:top w:val="single" w:color="000000" w:sz="12" w:space="0"/>
              <w:left w:val="nil"/>
              <w:bottom w:val="single" w:color="000000" w:sz="8" w:space="0"/>
              <w:right w:val="nil"/>
            </w:tcBorders>
            <w:shd w:val="clear" w:color="auto" w:fill="FFFFFF" w:themeFill="background1"/>
            <w:noWrap/>
            <w:vAlign w:val="top"/>
          </w:tcPr>
          <w:p w14:paraId="30F63E01">
            <w:pPr>
              <w:snapToGrid w:val="0"/>
              <w:spacing w:before="0" w:beforeLines="0" w:after="0" w:afterLines="0"/>
              <w:ind w:left="0" w:leftChars="0" w:right="0" w:rightChars="0" w:firstLine="0" w:firstLineChars="0"/>
              <w:jc w:val="left"/>
              <w:rPr>
                <w:b/>
                <w:sz w:val="18"/>
                <w:szCs w:val="18"/>
              </w:rPr>
            </w:pPr>
            <w:r>
              <w:rPr>
                <w:b/>
                <w:sz w:val="18"/>
                <w:szCs w:val="18"/>
                <w:lang w:bidi="ar"/>
              </w:rPr>
              <w:t>Study ID</w:t>
            </w:r>
          </w:p>
        </w:tc>
        <w:tc>
          <w:tcPr>
            <w:tcW w:w="1902" w:type="dxa"/>
            <w:tcBorders>
              <w:top w:val="single" w:color="000000" w:sz="12" w:space="0"/>
              <w:left w:val="nil"/>
              <w:bottom w:val="single" w:color="000000" w:sz="8" w:space="0"/>
              <w:right w:val="nil"/>
            </w:tcBorders>
            <w:shd w:val="clear" w:color="auto" w:fill="FFFFFF" w:themeFill="background1"/>
            <w:noWrap/>
            <w:vAlign w:val="top"/>
          </w:tcPr>
          <w:p w14:paraId="71B588F9">
            <w:pPr>
              <w:snapToGrid w:val="0"/>
              <w:spacing w:before="0" w:beforeLines="0" w:after="0" w:afterLines="0"/>
              <w:ind w:left="0" w:leftChars="0" w:right="0" w:rightChars="0" w:firstLine="0" w:firstLineChars="0"/>
              <w:jc w:val="left"/>
              <w:rPr>
                <w:b/>
                <w:sz w:val="18"/>
                <w:szCs w:val="18"/>
              </w:rPr>
            </w:pPr>
            <w:r>
              <w:rPr>
                <w:b/>
                <w:sz w:val="18"/>
                <w:szCs w:val="18"/>
              </w:rPr>
              <w:t>Pathogenic Bacteria</w:t>
            </w:r>
          </w:p>
        </w:tc>
        <w:tc>
          <w:tcPr>
            <w:tcW w:w="1373" w:type="dxa"/>
            <w:tcBorders>
              <w:top w:val="single" w:color="000000" w:sz="12" w:space="0"/>
              <w:left w:val="nil"/>
              <w:bottom w:val="single" w:color="000000" w:sz="8" w:space="0"/>
              <w:right w:val="nil"/>
            </w:tcBorders>
            <w:shd w:val="clear" w:color="auto" w:fill="FFFFFF" w:themeFill="background1"/>
            <w:noWrap/>
            <w:vAlign w:val="top"/>
          </w:tcPr>
          <w:p w14:paraId="5C54A5C7">
            <w:pPr>
              <w:snapToGrid w:val="0"/>
              <w:spacing w:before="0" w:beforeLines="0" w:after="0" w:afterLines="0"/>
              <w:ind w:left="0" w:leftChars="0" w:right="0" w:rightChars="0" w:firstLine="0" w:firstLineChars="0"/>
              <w:jc w:val="left"/>
              <w:rPr>
                <w:b/>
                <w:sz w:val="18"/>
                <w:szCs w:val="18"/>
              </w:rPr>
            </w:pPr>
            <w:r>
              <w:rPr>
                <w:b/>
                <w:sz w:val="18"/>
                <w:szCs w:val="18"/>
                <w:lang w:bidi="ar"/>
              </w:rPr>
              <w:t>Sample Size</w:t>
            </w:r>
          </w:p>
        </w:tc>
        <w:tc>
          <w:tcPr>
            <w:tcW w:w="2409" w:type="dxa"/>
            <w:tcBorders>
              <w:top w:val="single" w:color="000000" w:sz="12" w:space="0"/>
              <w:left w:val="nil"/>
              <w:bottom w:val="single" w:color="000000" w:sz="8" w:space="0"/>
              <w:right w:val="nil"/>
            </w:tcBorders>
            <w:shd w:val="clear" w:color="auto" w:fill="FFFFFF" w:themeFill="background1"/>
            <w:noWrap/>
            <w:vAlign w:val="top"/>
          </w:tcPr>
          <w:p w14:paraId="36689DBB">
            <w:pPr>
              <w:snapToGrid w:val="0"/>
              <w:spacing w:before="0" w:beforeLines="0" w:after="0" w:afterLines="0"/>
              <w:ind w:left="0" w:leftChars="0" w:right="0" w:rightChars="0" w:firstLine="0" w:firstLineChars="0"/>
              <w:jc w:val="left"/>
              <w:rPr>
                <w:b/>
                <w:sz w:val="18"/>
                <w:szCs w:val="18"/>
              </w:rPr>
            </w:pPr>
            <w:r>
              <w:rPr>
                <w:b/>
                <w:sz w:val="18"/>
                <w:szCs w:val="18"/>
              </w:rPr>
              <w:t>Carbapenemase</w:t>
            </w:r>
          </w:p>
        </w:tc>
        <w:tc>
          <w:tcPr>
            <w:tcW w:w="3239" w:type="dxa"/>
            <w:tcBorders>
              <w:top w:val="single" w:color="000000" w:sz="12" w:space="0"/>
              <w:left w:val="nil"/>
              <w:bottom w:val="single" w:color="000000" w:sz="8" w:space="0"/>
              <w:right w:val="nil"/>
            </w:tcBorders>
            <w:shd w:val="clear" w:color="auto" w:fill="FFFFFF" w:themeFill="background1"/>
            <w:vAlign w:val="top"/>
          </w:tcPr>
          <w:p w14:paraId="6677F1FD">
            <w:pPr>
              <w:snapToGrid w:val="0"/>
              <w:spacing w:before="0" w:beforeLines="0" w:after="0" w:afterLines="0"/>
              <w:ind w:left="0" w:leftChars="0" w:right="0" w:rightChars="0" w:firstLine="0" w:firstLineChars="0"/>
              <w:jc w:val="left"/>
              <w:rPr>
                <w:b/>
                <w:sz w:val="18"/>
                <w:szCs w:val="18"/>
              </w:rPr>
            </w:pPr>
            <w:r>
              <w:rPr>
                <w:b/>
                <w:sz w:val="18"/>
                <w:szCs w:val="18"/>
                <w:lang w:bidi="ar"/>
              </w:rPr>
              <w:t>Diagnostic Methods 1</w:t>
            </w:r>
          </w:p>
        </w:tc>
        <w:tc>
          <w:tcPr>
            <w:tcW w:w="2007" w:type="dxa"/>
            <w:tcBorders>
              <w:top w:val="single" w:color="000000" w:sz="12" w:space="0"/>
              <w:left w:val="nil"/>
              <w:bottom w:val="single" w:color="000000" w:sz="8" w:space="0"/>
              <w:right w:val="nil"/>
            </w:tcBorders>
            <w:shd w:val="clear" w:color="auto" w:fill="FFFFFF" w:themeFill="background1"/>
            <w:vAlign w:val="top"/>
          </w:tcPr>
          <w:p w14:paraId="228B55B2">
            <w:pPr>
              <w:snapToGrid w:val="0"/>
              <w:spacing w:before="0" w:beforeLines="0" w:after="0" w:afterLines="0"/>
              <w:ind w:left="0" w:leftChars="0" w:right="0" w:rightChars="0" w:firstLine="0" w:firstLineChars="0"/>
              <w:jc w:val="left"/>
              <w:rPr>
                <w:b/>
                <w:sz w:val="18"/>
                <w:szCs w:val="18"/>
              </w:rPr>
            </w:pPr>
            <w:r>
              <w:rPr>
                <w:b/>
                <w:sz w:val="18"/>
                <w:szCs w:val="18"/>
                <w:lang w:bidi="ar"/>
              </w:rPr>
              <w:t>Diagnostic Methods 2</w:t>
            </w:r>
          </w:p>
        </w:tc>
        <w:tc>
          <w:tcPr>
            <w:tcW w:w="1164" w:type="dxa"/>
            <w:tcBorders>
              <w:top w:val="single" w:color="000000" w:sz="12" w:space="0"/>
              <w:left w:val="nil"/>
              <w:bottom w:val="single" w:color="000000" w:sz="8" w:space="0"/>
              <w:right w:val="nil"/>
            </w:tcBorders>
            <w:shd w:val="clear" w:color="auto" w:fill="FFFFFF" w:themeFill="background1"/>
            <w:noWrap/>
            <w:vAlign w:val="top"/>
          </w:tcPr>
          <w:p w14:paraId="56635EE3">
            <w:pPr>
              <w:snapToGrid w:val="0"/>
              <w:spacing w:before="0" w:beforeLines="0" w:after="0" w:afterLines="0"/>
              <w:ind w:left="0" w:leftChars="0" w:right="0" w:rightChars="0" w:firstLine="0" w:firstLineChars="0"/>
              <w:jc w:val="left"/>
              <w:rPr>
                <w:b/>
                <w:sz w:val="18"/>
                <w:szCs w:val="18"/>
              </w:rPr>
            </w:pPr>
            <w:r>
              <w:rPr>
                <w:b/>
                <w:sz w:val="18"/>
                <w:szCs w:val="18"/>
                <w:lang w:bidi="ar"/>
              </w:rPr>
              <w:t>Outcomes</w:t>
            </w:r>
          </w:p>
        </w:tc>
        <w:tc>
          <w:tcPr>
            <w:tcW w:w="940" w:type="dxa"/>
            <w:tcBorders>
              <w:top w:val="single" w:color="000000" w:sz="12" w:space="0"/>
              <w:left w:val="nil"/>
              <w:bottom w:val="single" w:color="000000" w:sz="8" w:space="0"/>
              <w:right w:val="nil"/>
            </w:tcBorders>
            <w:shd w:val="clear" w:color="auto" w:fill="FFFFFF" w:themeFill="background1"/>
            <w:noWrap/>
            <w:vAlign w:val="top"/>
          </w:tcPr>
          <w:p w14:paraId="3D3C0068">
            <w:pPr>
              <w:snapToGrid w:val="0"/>
              <w:spacing w:before="0" w:beforeLines="0" w:after="0" w:afterLines="0"/>
              <w:ind w:left="0" w:leftChars="0" w:right="0" w:rightChars="0" w:firstLine="0" w:firstLineChars="0"/>
              <w:jc w:val="left"/>
              <w:rPr>
                <w:b/>
                <w:sz w:val="18"/>
                <w:szCs w:val="18"/>
              </w:rPr>
            </w:pPr>
            <w:r>
              <w:rPr>
                <w:b/>
                <w:sz w:val="18"/>
                <w:szCs w:val="18"/>
                <w:lang w:bidi="ar"/>
              </w:rPr>
              <w:t>Data</w:t>
            </w:r>
          </w:p>
        </w:tc>
      </w:tr>
      <w:tr w14:paraId="1B401ECA">
        <w:tblPrEx>
          <w:shd w:val="clear" w:color="auto" w:fill="FFFFFF" w:themeFill="background1"/>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0F0601CE">
            <w:pPr>
              <w:snapToGrid w:val="0"/>
              <w:spacing w:before="0" w:beforeLines="0" w:after="0" w:afterLines="0"/>
              <w:ind w:left="0" w:leftChars="0" w:right="0" w:rightChars="0" w:firstLine="0" w:firstLineChars="0"/>
              <w:jc w:val="left"/>
              <w:rPr>
                <w:sz w:val="18"/>
                <w:szCs w:val="18"/>
              </w:rPr>
            </w:pPr>
            <w:r>
              <w:rPr>
                <w:sz w:val="18"/>
                <w:szCs w:val="18"/>
                <w:lang w:bidi="ar"/>
              </w:rPr>
              <w:t>Sheikh 2014</w:t>
            </w:r>
          </w:p>
        </w:tc>
        <w:tc>
          <w:tcPr>
            <w:tcW w:w="1902" w:type="dxa"/>
            <w:tcBorders>
              <w:top w:val="nil"/>
              <w:left w:val="nil"/>
              <w:bottom w:val="nil"/>
              <w:right w:val="nil"/>
            </w:tcBorders>
            <w:shd w:val="clear" w:color="auto" w:fill="FFFFFF" w:themeFill="background1"/>
            <w:noWrap/>
            <w:vAlign w:val="top"/>
          </w:tcPr>
          <w:p w14:paraId="747FF694">
            <w:pPr>
              <w:snapToGrid w:val="0"/>
              <w:spacing w:before="0" w:beforeLines="0" w:after="0" w:afterLines="0"/>
              <w:ind w:left="0" w:leftChars="0" w:right="0" w:rightChars="0" w:firstLine="0" w:firstLineChars="0"/>
              <w:jc w:val="left"/>
              <w:rPr>
                <w:sz w:val="18"/>
                <w:szCs w:val="18"/>
              </w:rPr>
            </w:pPr>
            <w:r>
              <w:rPr>
                <w:sz w:val="18"/>
                <w:szCs w:val="18"/>
                <w:lang w:bidi="ar"/>
              </w:rPr>
              <w:t>CRPA</w:t>
            </w:r>
          </w:p>
        </w:tc>
        <w:tc>
          <w:tcPr>
            <w:tcW w:w="1373" w:type="dxa"/>
            <w:tcBorders>
              <w:top w:val="nil"/>
              <w:left w:val="nil"/>
              <w:bottom w:val="nil"/>
              <w:right w:val="nil"/>
            </w:tcBorders>
            <w:shd w:val="clear" w:color="auto" w:fill="FFFFFF" w:themeFill="background1"/>
            <w:noWrap/>
            <w:vAlign w:val="top"/>
          </w:tcPr>
          <w:p w14:paraId="6C237530">
            <w:pPr>
              <w:snapToGrid w:val="0"/>
              <w:spacing w:before="0" w:beforeLines="0" w:after="0" w:afterLines="0"/>
              <w:ind w:left="0" w:leftChars="0" w:right="0" w:rightChars="0" w:firstLine="0" w:firstLineChars="0"/>
              <w:jc w:val="center"/>
              <w:rPr>
                <w:sz w:val="18"/>
                <w:szCs w:val="18"/>
              </w:rPr>
            </w:pPr>
            <w:r>
              <w:rPr>
                <w:sz w:val="18"/>
                <w:szCs w:val="18"/>
                <w:lang w:bidi="ar"/>
              </w:rPr>
              <w:t>169</w:t>
            </w:r>
          </w:p>
        </w:tc>
        <w:tc>
          <w:tcPr>
            <w:tcW w:w="2409" w:type="dxa"/>
            <w:tcBorders>
              <w:top w:val="nil"/>
              <w:left w:val="nil"/>
              <w:bottom w:val="nil"/>
              <w:right w:val="nil"/>
            </w:tcBorders>
            <w:shd w:val="clear" w:color="auto" w:fill="FFFFFF" w:themeFill="background1"/>
            <w:noWrap/>
            <w:vAlign w:val="top"/>
          </w:tcPr>
          <w:p w14:paraId="2753A228">
            <w:pPr>
              <w:snapToGrid w:val="0"/>
              <w:spacing w:before="0" w:beforeLines="0" w:after="0" w:afterLines="0"/>
              <w:ind w:left="0" w:leftChars="0" w:right="0" w:rightChars="0" w:firstLine="0" w:firstLineChars="0"/>
              <w:jc w:val="left"/>
              <w:rPr>
                <w:sz w:val="18"/>
                <w:szCs w:val="18"/>
              </w:rPr>
            </w:pPr>
            <w:r>
              <w:rPr>
                <w:sz w:val="18"/>
                <w:szCs w:val="18"/>
                <w:lang w:bidi="ar"/>
              </w:rPr>
              <w:t>MBL (metallo-β-lactamases)</w:t>
            </w:r>
          </w:p>
        </w:tc>
        <w:tc>
          <w:tcPr>
            <w:tcW w:w="3239" w:type="dxa"/>
            <w:tcBorders>
              <w:top w:val="nil"/>
              <w:left w:val="nil"/>
              <w:bottom w:val="nil"/>
              <w:right w:val="nil"/>
            </w:tcBorders>
            <w:shd w:val="clear" w:color="auto" w:fill="FFFFFF" w:themeFill="background1"/>
            <w:vAlign w:val="top"/>
          </w:tcPr>
          <w:p w14:paraId="4E80ABC7">
            <w:pPr>
              <w:snapToGrid w:val="0"/>
              <w:spacing w:before="0" w:beforeLines="0" w:after="0" w:afterLines="0"/>
              <w:ind w:left="0" w:leftChars="0" w:right="0" w:rightChars="0" w:firstLine="0" w:firstLineChars="0"/>
              <w:jc w:val="left"/>
              <w:rPr>
                <w:sz w:val="18"/>
                <w:szCs w:val="18"/>
              </w:rPr>
            </w:pPr>
            <w:r>
              <w:rPr>
                <w:sz w:val="18"/>
                <w:szCs w:val="18"/>
                <w:lang w:bidi="ar"/>
              </w:rPr>
              <w:t>Combined Disk (CD) Test-Imipenem</w:t>
            </w:r>
          </w:p>
        </w:tc>
        <w:tc>
          <w:tcPr>
            <w:tcW w:w="2007" w:type="dxa"/>
            <w:tcBorders>
              <w:top w:val="nil"/>
              <w:left w:val="nil"/>
              <w:bottom w:val="nil"/>
              <w:right w:val="nil"/>
            </w:tcBorders>
            <w:shd w:val="clear" w:color="auto" w:fill="FFFFFF" w:themeFill="background1"/>
            <w:vAlign w:val="top"/>
          </w:tcPr>
          <w:p w14:paraId="394AC391">
            <w:pPr>
              <w:snapToGrid w:val="0"/>
              <w:spacing w:before="0" w:beforeLines="0" w:after="0" w:afterLines="0"/>
              <w:ind w:left="0" w:leftChars="0" w:right="0" w:rightChars="0" w:firstLine="0" w:firstLineChars="0"/>
              <w:jc w:val="left"/>
              <w:rPr>
                <w:sz w:val="18"/>
                <w:szCs w:val="18"/>
              </w:rPr>
            </w:pPr>
            <w:r>
              <w:rPr>
                <w:sz w:val="18"/>
                <w:szCs w:val="18"/>
                <w:lang w:bidi="ar"/>
              </w:rPr>
              <w:t xml:space="preserve">PCR </w:t>
            </w:r>
          </w:p>
        </w:tc>
        <w:tc>
          <w:tcPr>
            <w:tcW w:w="1164" w:type="dxa"/>
            <w:tcBorders>
              <w:top w:val="nil"/>
              <w:left w:val="nil"/>
              <w:bottom w:val="nil"/>
              <w:right w:val="nil"/>
            </w:tcBorders>
            <w:shd w:val="clear" w:color="auto" w:fill="FFFFFF" w:themeFill="background1"/>
            <w:noWrap/>
            <w:vAlign w:val="top"/>
          </w:tcPr>
          <w:p w14:paraId="043D5617">
            <w:pPr>
              <w:snapToGrid w:val="0"/>
              <w:spacing w:before="0" w:beforeLines="0" w:after="0" w:afterLines="0"/>
              <w:ind w:left="0" w:leftChars="0" w:right="0" w:rightChars="0" w:firstLine="0" w:firstLineChars="0"/>
              <w:jc w:val="center"/>
              <w:rPr>
                <w:sz w:val="18"/>
                <w:szCs w:val="18"/>
              </w:rPr>
            </w:pPr>
            <w:r>
              <w:rPr>
                <w:sz w:val="18"/>
                <w:szCs w:val="18"/>
                <w:lang w:bidi="ar"/>
              </w:rPr>
              <w:t>Sensitivity</w:t>
            </w:r>
          </w:p>
        </w:tc>
        <w:tc>
          <w:tcPr>
            <w:tcW w:w="940" w:type="dxa"/>
            <w:tcBorders>
              <w:top w:val="nil"/>
              <w:left w:val="nil"/>
              <w:bottom w:val="nil"/>
              <w:right w:val="nil"/>
            </w:tcBorders>
            <w:shd w:val="clear" w:color="auto" w:fill="FFFFFF" w:themeFill="background1"/>
            <w:noWrap/>
            <w:vAlign w:val="top"/>
          </w:tcPr>
          <w:p w14:paraId="401C5D9D">
            <w:pPr>
              <w:snapToGrid w:val="0"/>
              <w:spacing w:before="0" w:beforeLines="0" w:after="0" w:afterLines="0"/>
              <w:ind w:left="0" w:leftChars="0" w:right="0" w:rightChars="0" w:firstLine="0" w:firstLineChars="0"/>
              <w:jc w:val="center"/>
              <w:rPr>
                <w:sz w:val="18"/>
                <w:szCs w:val="18"/>
              </w:rPr>
            </w:pPr>
            <w:r>
              <w:rPr>
                <w:sz w:val="18"/>
                <w:szCs w:val="18"/>
                <w:lang w:bidi="ar"/>
              </w:rPr>
              <w:t>100.0%</w:t>
            </w:r>
          </w:p>
        </w:tc>
      </w:tr>
      <w:tr w14:paraId="6EDD90B0">
        <w:tblPrEx>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05E9DB31">
            <w:pPr>
              <w:snapToGrid w:val="0"/>
              <w:spacing w:before="0" w:beforeLines="0" w:after="0" w:afterLines="0"/>
              <w:ind w:left="0" w:leftChars="0" w:right="0" w:rightChars="0" w:firstLine="0" w:firstLineChars="0"/>
              <w:jc w:val="left"/>
              <w:rPr>
                <w:sz w:val="18"/>
                <w:szCs w:val="18"/>
              </w:rPr>
            </w:pPr>
            <w:r>
              <w:rPr>
                <w:sz w:val="18"/>
                <w:szCs w:val="18"/>
                <w:lang w:bidi="ar"/>
              </w:rPr>
              <w:t>Sheikh 2014</w:t>
            </w:r>
          </w:p>
        </w:tc>
        <w:tc>
          <w:tcPr>
            <w:tcW w:w="1902" w:type="dxa"/>
            <w:tcBorders>
              <w:top w:val="nil"/>
              <w:left w:val="nil"/>
              <w:bottom w:val="nil"/>
              <w:right w:val="nil"/>
            </w:tcBorders>
            <w:shd w:val="clear" w:color="auto" w:fill="FFFFFF" w:themeFill="background1"/>
            <w:noWrap/>
            <w:vAlign w:val="top"/>
          </w:tcPr>
          <w:p w14:paraId="778A95ED">
            <w:pPr>
              <w:snapToGrid w:val="0"/>
              <w:spacing w:before="0" w:beforeLines="0" w:after="0" w:afterLines="0"/>
              <w:ind w:left="0" w:leftChars="0" w:right="0" w:rightChars="0" w:firstLine="0" w:firstLineChars="0"/>
              <w:jc w:val="left"/>
              <w:rPr>
                <w:sz w:val="18"/>
                <w:szCs w:val="18"/>
              </w:rPr>
            </w:pPr>
            <w:r>
              <w:rPr>
                <w:sz w:val="18"/>
                <w:szCs w:val="18"/>
                <w:lang w:bidi="ar"/>
              </w:rPr>
              <w:t>CRPA</w:t>
            </w:r>
          </w:p>
        </w:tc>
        <w:tc>
          <w:tcPr>
            <w:tcW w:w="1373" w:type="dxa"/>
            <w:tcBorders>
              <w:top w:val="nil"/>
              <w:left w:val="nil"/>
              <w:bottom w:val="nil"/>
              <w:right w:val="nil"/>
            </w:tcBorders>
            <w:shd w:val="clear" w:color="auto" w:fill="FFFFFF" w:themeFill="background1"/>
            <w:noWrap/>
            <w:vAlign w:val="top"/>
          </w:tcPr>
          <w:p w14:paraId="1AA6AEF8">
            <w:pPr>
              <w:snapToGrid w:val="0"/>
              <w:spacing w:before="0" w:beforeLines="0" w:after="0" w:afterLines="0"/>
              <w:ind w:left="0" w:leftChars="0" w:right="0" w:rightChars="0" w:firstLine="0" w:firstLineChars="0"/>
              <w:jc w:val="center"/>
              <w:rPr>
                <w:sz w:val="18"/>
                <w:szCs w:val="18"/>
              </w:rPr>
            </w:pPr>
            <w:r>
              <w:rPr>
                <w:sz w:val="18"/>
                <w:szCs w:val="18"/>
                <w:lang w:bidi="ar"/>
              </w:rPr>
              <w:t>169</w:t>
            </w:r>
          </w:p>
        </w:tc>
        <w:tc>
          <w:tcPr>
            <w:tcW w:w="2409" w:type="dxa"/>
            <w:tcBorders>
              <w:top w:val="nil"/>
              <w:left w:val="nil"/>
              <w:bottom w:val="nil"/>
              <w:right w:val="nil"/>
            </w:tcBorders>
            <w:shd w:val="clear" w:color="auto" w:fill="FFFFFF" w:themeFill="background1"/>
            <w:noWrap/>
            <w:vAlign w:val="top"/>
          </w:tcPr>
          <w:p w14:paraId="07931BF7">
            <w:pPr>
              <w:snapToGrid w:val="0"/>
              <w:spacing w:before="0" w:beforeLines="0" w:after="0" w:afterLines="0"/>
              <w:ind w:left="0" w:leftChars="0" w:right="0" w:rightChars="0" w:firstLine="0" w:firstLineChars="0"/>
              <w:jc w:val="left"/>
              <w:rPr>
                <w:sz w:val="18"/>
                <w:szCs w:val="18"/>
              </w:rPr>
            </w:pPr>
            <w:r>
              <w:rPr>
                <w:sz w:val="18"/>
                <w:szCs w:val="18"/>
                <w:lang w:bidi="ar"/>
              </w:rPr>
              <w:t>MBL (metallo-β-lactamases)</w:t>
            </w:r>
          </w:p>
        </w:tc>
        <w:tc>
          <w:tcPr>
            <w:tcW w:w="3239" w:type="dxa"/>
            <w:tcBorders>
              <w:top w:val="nil"/>
              <w:left w:val="nil"/>
              <w:bottom w:val="nil"/>
              <w:right w:val="nil"/>
            </w:tcBorders>
            <w:shd w:val="clear" w:color="auto" w:fill="FFFFFF" w:themeFill="background1"/>
            <w:vAlign w:val="top"/>
          </w:tcPr>
          <w:p w14:paraId="31A48B3A">
            <w:pPr>
              <w:snapToGrid w:val="0"/>
              <w:spacing w:before="0" w:beforeLines="0" w:after="0" w:afterLines="0"/>
              <w:ind w:left="0" w:leftChars="0" w:right="0" w:rightChars="0" w:firstLine="0" w:firstLineChars="0"/>
              <w:jc w:val="left"/>
              <w:rPr>
                <w:sz w:val="18"/>
                <w:szCs w:val="18"/>
              </w:rPr>
            </w:pPr>
            <w:r>
              <w:rPr>
                <w:sz w:val="18"/>
                <w:szCs w:val="18"/>
                <w:lang w:bidi="ar"/>
              </w:rPr>
              <w:t>Combined Disk (CD) Test-Imipenem</w:t>
            </w:r>
          </w:p>
        </w:tc>
        <w:tc>
          <w:tcPr>
            <w:tcW w:w="2007" w:type="dxa"/>
            <w:tcBorders>
              <w:top w:val="nil"/>
              <w:left w:val="nil"/>
              <w:bottom w:val="nil"/>
              <w:right w:val="nil"/>
            </w:tcBorders>
            <w:shd w:val="clear" w:color="auto" w:fill="FFFFFF" w:themeFill="background1"/>
            <w:vAlign w:val="top"/>
          </w:tcPr>
          <w:p w14:paraId="107E0844">
            <w:pPr>
              <w:snapToGrid w:val="0"/>
              <w:spacing w:before="0" w:beforeLines="0" w:after="0" w:afterLines="0"/>
              <w:ind w:left="0" w:leftChars="0" w:right="0" w:rightChars="0" w:firstLine="0" w:firstLineChars="0"/>
              <w:jc w:val="left"/>
              <w:rPr>
                <w:sz w:val="18"/>
                <w:szCs w:val="18"/>
              </w:rPr>
            </w:pPr>
            <w:r>
              <w:rPr>
                <w:sz w:val="18"/>
                <w:szCs w:val="18"/>
                <w:lang w:bidi="ar"/>
              </w:rPr>
              <w:t>PCR</w:t>
            </w:r>
          </w:p>
        </w:tc>
        <w:tc>
          <w:tcPr>
            <w:tcW w:w="1164" w:type="dxa"/>
            <w:tcBorders>
              <w:top w:val="nil"/>
              <w:left w:val="nil"/>
              <w:bottom w:val="nil"/>
              <w:right w:val="nil"/>
            </w:tcBorders>
            <w:shd w:val="clear" w:color="auto" w:fill="FFFFFF" w:themeFill="background1"/>
            <w:noWrap/>
            <w:vAlign w:val="top"/>
          </w:tcPr>
          <w:p w14:paraId="4E0FC429">
            <w:pPr>
              <w:snapToGrid w:val="0"/>
              <w:spacing w:before="0" w:beforeLines="0" w:after="0" w:afterLines="0"/>
              <w:ind w:left="0" w:leftChars="0" w:right="0" w:rightChars="0" w:firstLine="0" w:firstLineChars="0"/>
              <w:jc w:val="center"/>
              <w:rPr>
                <w:sz w:val="18"/>
                <w:szCs w:val="18"/>
              </w:rPr>
            </w:pPr>
            <w:r>
              <w:rPr>
                <w:sz w:val="18"/>
                <w:szCs w:val="18"/>
                <w:lang w:bidi="ar"/>
              </w:rPr>
              <w:t>Specificity</w:t>
            </w:r>
          </w:p>
        </w:tc>
        <w:tc>
          <w:tcPr>
            <w:tcW w:w="940" w:type="dxa"/>
            <w:tcBorders>
              <w:top w:val="nil"/>
              <w:left w:val="nil"/>
              <w:bottom w:val="nil"/>
              <w:right w:val="nil"/>
            </w:tcBorders>
            <w:shd w:val="clear" w:color="auto" w:fill="FFFFFF" w:themeFill="background1"/>
            <w:noWrap/>
            <w:vAlign w:val="top"/>
          </w:tcPr>
          <w:p w14:paraId="4DE54038">
            <w:pPr>
              <w:snapToGrid w:val="0"/>
              <w:spacing w:before="0" w:beforeLines="0" w:after="0" w:afterLines="0"/>
              <w:ind w:left="0" w:leftChars="0" w:right="0" w:rightChars="0" w:firstLine="0" w:firstLineChars="0"/>
              <w:jc w:val="center"/>
              <w:rPr>
                <w:sz w:val="18"/>
                <w:szCs w:val="18"/>
              </w:rPr>
            </w:pPr>
            <w:r>
              <w:rPr>
                <w:sz w:val="18"/>
                <w:szCs w:val="18"/>
                <w:lang w:bidi="ar"/>
              </w:rPr>
              <w:t>47.2%</w:t>
            </w:r>
          </w:p>
        </w:tc>
      </w:tr>
      <w:tr w14:paraId="4438A758">
        <w:tblPrEx>
          <w:shd w:val="clear" w:color="auto" w:fill="FFFFFF" w:themeFill="background1"/>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4504A2CD">
            <w:pPr>
              <w:snapToGrid w:val="0"/>
              <w:spacing w:before="0" w:beforeLines="0" w:after="0" w:afterLines="0"/>
              <w:ind w:left="0" w:leftChars="0" w:right="0" w:rightChars="0" w:firstLine="0" w:firstLineChars="0"/>
              <w:jc w:val="left"/>
              <w:rPr>
                <w:sz w:val="18"/>
                <w:szCs w:val="18"/>
              </w:rPr>
            </w:pPr>
            <w:r>
              <w:rPr>
                <w:sz w:val="18"/>
                <w:szCs w:val="18"/>
                <w:lang w:bidi="ar"/>
              </w:rPr>
              <w:t>Franco 2010</w:t>
            </w:r>
          </w:p>
        </w:tc>
        <w:tc>
          <w:tcPr>
            <w:tcW w:w="1902" w:type="dxa"/>
            <w:tcBorders>
              <w:top w:val="nil"/>
              <w:left w:val="nil"/>
              <w:bottom w:val="nil"/>
              <w:right w:val="nil"/>
            </w:tcBorders>
            <w:shd w:val="clear" w:color="auto" w:fill="FFFFFF" w:themeFill="background1"/>
            <w:vAlign w:val="top"/>
          </w:tcPr>
          <w:p w14:paraId="5DE67DD8">
            <w:pPr>
              <w:snapToGrid w:val="0"/>
              <w:spacing w:before="0" w:beforeLines="0" w:after="0" w:afterLines="0"/>
              <w:ind w:left="0" w:leftChars="0" w:right="0" w:rightChars="0" w:firstLine="0" w:firstLineChars="0"/>
              <w:jc w:val="left"/>
              <w:rPr>
                <w:sz w:val="18"/>
                <w:szCs w:val="18"/>
              </w:rPr>
            </w:pPr>
            <w:r>
              <w:rPr>
                <w:sz w:val="18"/>
                <w:szCs w:val="18"/>
                <w:lang w:bidi="ar"/>
              </w:rPr>
              <w:t xml:space="preserve">IRPA </w:t>
            </w:r>
          </w:p>
        </w:tc>
        <w:tc>
          <w:tcPr>
            <w:tcW w:w="1373" w:type="dxa"/>
            <w:tcBorders>
              <w:top w:val="nil"/>
              <w:left w:val="nil"/>
              <w:bottom w:val="nil"/>
              <w:right w:val="nil"/>
            </w:tcBorders>
            <w:shd w:val="clear" w:color="auto" w:fill="FFFFFF" w:themeFill="background1"/>
            <w:noWrap/>
            <w:vAlign w:val="top"/>
          </w:tcPr>
          <w:p w14:paraId="6E76AC78">
            <w:pPr>
              <w:snapToGrid w:val="0"/>
              <w:spacing w:before="0" w:beforeLines="0" w:after="0" w:afterLines="0"/>
              <w:ind w:left="0" w:leftChars="0" w:right="0" w:rightChars="0" w:firstLine="0" w:firstLineChars="0"/>
              <w:jc w:val="center"/>
              <w:rPr>
                <w:sz w:val="18"/>
                <w:szCs w:val="18"/>
              </w:rPr>
            </w:pPr>
            <w:r>
              <w:rPr>
                <w:sz w:val="18"/>
                <w:szCs w:val="18"/>
                <w:lang w:bidi="ar"/>
              </w:rPr>
              <w:t>69</w:t>
            </w:r>
          </w:p>
        </w:tc>
        <w:tc>
          <w:tcPr>
            <w:tcW w:w="2409" w:type="dxa"/>
            <w:tcBorders>
              <w:top w:val="nil"/>
              <w:left w:val="nil"/>
              <w:bottom w:val="nil"/>
              <w:right w:val="nil"/>
            </w:tcBorders>
            <w:shd w:val="clear" w:color="auto" w:fill="FFFFFF" w:themeFill="background1"/>
            <w:noWrap/>
            <w:vAlign w:val="top"/>
          </w:tcPr>
          <w:p w14:paraId="59C3721A">
            <w:pPr>
              <w:snapToGrid w:val="0"/>
              <w:spacing w:before="0" w:beforeLines="0" w:after="0" w:afterLines="0"/>
              <w:ind w:left="0" w:leftChars="0" w:right="0" w:rightChars="0" w:firstLine="0" w:firstLineChars="0"/>
              <w:jc w:val="left"/>
              <w:rPr>
                <w:sz w:val="18"/>
                <w:szCs w:val="18"/>
              </w:rPr>
            </w:pPr>
            <w:r>
              <w:rPr>
                <w:sz w:val="18"/>
                <w:szCs w:val="18"/>
                <w:lang w:bidi="ar"/>
              </w:rPr>
              <w:t>blaSPM-1</w:t>
            </w:r>
          </w:p>
        </w:tc>
        <w:tc>
          <w:tcPr>
            <w:tcW w:w="3239" w:type="dxa"/>
            <w:tcBorders>
              <w:top w:val="nil"/>
              <w:left w:val="nil"/>
              <w:bottom w:val="nil"/>
              <w:right w:val="nil"/>
            </w:tcBorders>
            <w:shd w:val="clear" w:color="auto" w:fill="FFFFFF" w:themeFill="background1"/>
            <w:vAlign w:val="top"/>
          </w:tcPr>
          <w:p w14:paraId="39FD28B0">
            <w:pPr>
              <w:snapToGrid w:val="0"/>
              <w:spacing w:before="0" w:beforeLines="0" w:after="0" w:afterLines="0"/>
              <w:ind w:left="0" w:leftChars="0" w:right="0" w:rightChars="0" w:firstLine="0" w:firstLineChars="0"/>
              <w:jc w:val="left"/>
              <w:rPr>
                <w:sz w:val="18"/>
                <w:szCs w:val="18"/>
              </w:rPr>
            </w:pPr>
            <w:r>
              <w:rPr>
                <w:sz w:val="18"/>
                <w:szCs w:val="18"/>
                <w:lang w:bidi="ar"/>
              </w:rPr>
              <w:t>Double Disk Synergy Test (DDST): IMP-EDTA (Ethylenediamine tetracetic acid)</w:t>
            </w:r>
          </w:p>
        </w:tc>
        <w:tc>
          <w:tcPr>
            <w:tcW w:w="2007" w:type="dxa"/>
            <w:tcBorders>
              <w:top w:val="nil"/>
              <w:left w:val="nil"/>
              <w:bottom w:val="nil"/>
              <w:right w:val="nil"/>
            </w:tcBorders>
            <w:shd w:val="clear" w:color="auto" w:fill="FFFFFF" w:themeFill="background1"/>
            <w:vAlign w:val="top"/>
          </w:tcPr>
          <w:p w14:paraId="400EA83A">
            <w:pPr>
              <w:snapToGrid w:val="0"/>
              <w:spacing w:before="0" w:beforeLines="0" w:after="0" w:afterLines="0"/>
              <w:ind w:left="0" w:leftChars="0" w:right="0" w:rightChars="0" w:firstLine="0" w:firstLineChars="0"/>
              <w:jc w:val="left"/>
              <w:rPr>
                <w:sz w:val="18"/>
                <w:szCs w:val="18"/>
              </w:rPr>
            </w:pPr>
            <w:r>
              <w:rPr>
                <w:sz w:val="18"/>
                <w:szCs w:val="18"/>
                <w:lang w:bidi="ar"/>
              </w:rPr>
              <w:t>PCR</w:t>
            </w:r>
          </w:p>
        </w:tc>
        <w:tc>
          <w:tcPr>
            <w:tcW w:w="1164" w:type="dxa"/>
            <w:tcBorders>
              <w:top w:val="nil"/>
              <w:left w:val="nil"/>
              <w:bottom w:val="nil"/>
              <w:right w:val="nil"/>
            </w:tcBorders>
            <w:shd w:val="clear" w:color="auto" w:fill="FFFFFF" w:themeFill="background1"/>
            <w:noWrap/>
            <w:vAlign w:val="top"/>
          </w:tcPr>
          <w:p w14:paraId="0D588D11">
            <w:pPr>
              <w:snapToGrid w:val="0"/>
              <w:spacing w:before="0" w:beforeLines="0" w:after="0" w:afterLines="0"/>
              <w:ind w:left="0" w:leftChars="0" w:right="0" w:rightChars="0" w:firstLine="0" w:firstLineChars="0"/>
              <w:jc w:val="center"/>
              <w:rPr>
                <w:sz w:val="18"/>
                <w:szCs w:val="18"/>
              </w:rPr>
            </w:pPr>
            <w:r>
              <w:rPr>
                <w:sz w:val="18"/>
                <w:szCs w:val="18"/>
                <w:lang w:bidi="ar"/>
              </w:rPr>
              <w:t>Sensitivity</w:t>
            </w:r>
          </w:p>
        </w:tc>
        <w:tc>
          <w:tcPr>
            <w:tcW w:w="940" w:type="dxa"/>
            <w:tcBorders>
              <w:top w:val="nil"/>
              <w:left w:val="nil"/>
              <w:bottom w:val="nil"/>
              <w:right w:val="nil"/>
            </w:tcBorders>
            <w:shd w:val="clear" w:color="auto" w:fill="FFFFFF" w:themeFill="background1"/>
            <w:noWrap/>
            <w:vAlign w:val="top"/>
          </w:tcPr>
          <w:p w14:paraId="19289068">
            <w:pPr>
              <w:snapToGrid w:val="0"/>
              <w:spacing w:before="0" w:beforeLines="0" w:after="0" w:afterLines="0"/>
              <w:ind w:left="0" w:leftChars="0" w:right="0" w:rightChars="0" w:firstLine="0" w:firstLineChars="0"/>
              <w:jc w:val="center"/>
              <w:rPr>
                <w:sz w:val="18"/>
                <w:szCs w:val="18"/>
              </w:rPr>
            </w:pPr>
            <w:r>
              <w:rPr>
                <w:sz w:val="18"/>
                <w:szCs w:val="18"/>
                <w:lang w:bidi="ar"/>
              </w:rPr>
              <w:t>100.0%</w:t>
            </w:r>
          </w:p>
        </w:tc>
      </w:tr>
      <w:tr w14:paraId="2E1EE36E">
        <w:tblPrEx>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4C78B256">
            <w:pPr>
              <w:snapToGrid w:val="0"/>
              <w:spacing w:before="0" w:beforeLines="0" w:after="0" w:afterLines="0"/>
              <w:ind w:left="0" w:leftChars="0" w:right="0" w:rightChars="0" w:firstLine="0" w:firstLineChars="0"/>
              <w:jc w:val="left"/>
              <w:rPr>
                <w:sz w:val="18"/>
                <w:szCs w:val="18"/>
              </w:rPr>
            </w:pPr>
            <w:r>
              <w:rPr>
                <w:sz w:val="18"/>
                <w:szCs w:val="18"/>
                <w:lang w:bidi="ar"/>
              </w:rPr>
              <w:t>Franco 2010</w:t>
            </w:r>
          </w:p>
        </w:tc>
        <w:tc>
          <w:tcPr>
            <w:tcW w:w="1902" w:type="dxa"/>
            <w:tcBorders>
              <w:top w:val="nil"/>
              <w:left w:val="nil"/>
              <w:bottom w:val="nil"/>
              <w:right w:val="nil"/>
            </w:tcBorders>
            <w:shd w:val="clear" w:color="auto" w:fill="FFFFFF" w:themeFill="background1"/>
            <w:vAlign w:val="top"/>
          </w:tcPr>
          <w:p w14:paraId="4D5E5F23">
            <w:pPr>
              <w:snapToGrid w:val="0"/>
              <w:spacing w:before="0" w:beforeLines="0" w:after="0" w:afterLines="0"/>
              <w:ind w:left="0" w:leftChars="0" w:right="0" w:rightChars="0" w:firstLine="0" w:firstLineChars="0"/>
              <w:jc w:val="left"/>
              <w:rPr>
                <w:sz w:val="18"/>
                <w:szCs w:val="18"/>
              </w:rPr>
            </w:pPr>
            <w:r>
              <w:rPr>
                <w:sz w:val="18"/>
                <w:szCs w:val="18"/>
                <w:lang w:bidi="ar"/>
              </w:rPr>
              <w:t xml:space="preserve">IRPA </w:t>
            </w:r>
          </w:p>
        </w:tc>
        <w:tc>
          <w:tcPr>
            <w:tcW w:w="1373" w:type="dxa"/>
            <w:tcBorders>
              <w:top w:val="nil"/>
              <w:left w:val="nil"/>
              <w:bottom w:val="nil"/>
              <w:right w:val="nil"/>
            </w:tcBorders>
            <w:shd w:val="clear" w:color="auto" w:fill="FFFFFF" w:themeFill="background1"/>
            <w:noWrap/>
            <w:vAlign w:val="top"/>
          </w:tcPr>
          <w:p w14:paraId="3874B003">
            <w:pPr>
              <w:snapToGrid w:val="0"/>
              <w:spacing w:before="0" w:beforeLines="0" w:after="0" w:afterLines="0"/>
              <w:ind w:left="0" w:leftChars="0" w:right="0" w:rightChars="0" w:firstLine="0" w:firstLineChars="0"/>
              <w:jc w:val="center"/>
              <w:rPr>
                <w:sz w:val="18"/>
                <w:szCs w:val="18"/>
              </w:rPr>
            </w:pPr>
            <w:r>
              <w:rPr>
                <w:sz w:val="18"/>
                <w:szCs w:val="18"/>
                <w:lang w:bidi="ar"/>
              </w:rPr>
              <w:t>69</w:t>
            </w:r>
          </w:p>
        </w:tc>
        <w:tc>
          <w:tcPr>
            <w:tcW w:w="2409" w:type="dxa"/>
            <w:tcBorders>
              <w:top w:val="nil"/>
              <w:left w:val="nil"/>
              <w:bottom w:val="nil"/>
              <w:right w:val="nil"/>
            </w:tcBorders>
            <w:shd w:val="clear" w:color="auto" w:fill="FFFFFF" w:themeFill="background1"/>
            <w:noWrap/>
            <w:vAlign w:val="top"/>
          </w:tcPr>
          <w:p w14:paraId="6F9124F3">
            <w:pPr>
              <w:snapToGrid w:val="0"/>
              <w:spacing w:before="0" w:beforeLines="0" w:after="0" w:afterLines="0"/>
              <w:ind w:left="0" w:leftChars="0" w:right="0" w:rightChars="0" w:firstLine="0" w:firstLineChars="0"/>
              <w:jc w:val="left"/>
              <w:rPr>
                <w:sz w:val="18"/>
                <w:szCs w:val="18"/>
              </w:rPr>
            </w:pPr>
            <w:r>
              <w:rPr>
                <w:sz w:val="18"/>
                <w:szCs w:val="18"/>
                <w:lang w:bidi="ar"/>
              </w:rPr>
              <w:t>blaSPM-1</w:t>
            </w:r>
          </w:p>
        </w:tc>
        <w:tc>
          <w:tcPr>
            <w:tcW w:w="3239" w:type="dxa"/>
            <w:tcBorders>
              <w:top w:val="nil"/>
              <w:left w:val="nil"/>
              <w:bottom w:val="nil"/>
              <w:right w:val="nil"/>
            </w:tcBorders>
            <w:shd w:val="clear" w:color="auto" w:fill="FFFFFF" w:themeFill="background1"/>
            <w:vAlign w:val="top"/>
          </w:tcPr>
          <w:p w14:paraId="2E437185">
            <w:pPr>
              <w:snapToGrid w:val="0"/>
              <w:spacing w:before="0" w:beforeLines="0" w:after="0" w:afterLines="0"/>
              <w:ind w:left="0" w:leftChars="0" w:right="0" w:rightChars="0" w:firstLine="0" w:firstLineChars="0"/>
              <w:jc w:val="left"/>
              <w:rPr>
                <w:sz w:val="18"/>
                <w:szCs w:val="18"/>
              </w:rPr>
            </w:pPr>
            <w:r>
              <w:rPr>
                <w:sz w:val="18"/>
                <w:szCs w:val="18"/>
                <w:lang w:bidi="ar"/>
              </w:rPr>
              <w:t xml:space="preserve">Double Disk Synergy Test (DDST): IMP-EDTA </w:t>
            </w:r>
          </w:p>
        </w:tc>
        <w:tc>
          <w:tcPr>
            <w:tcW w:w="2007" w:type="dxa"/>
            <w:tcBorders>
              <w:top w:val="nil"/>
              <w:left w:val="nil"/>
              <w:bottom w:val="nil"/>
              <w:right w:val="nil"/>
            </w:tcBorders>
            <w:shd w:val="clear" w:color="auto" w:fill="FFFFFF" w:themeFill="background1"/>
            <w:vAlign w:val="top"/>
          </w:tcPr>
          <w:p w14:paraId="6C66BCE0">
            <w:pPr>
              <w:snapToGrid w:val="0"/>
              <w:spacing w:before="0" w:beforeLines="0" w:after="0" w:afterLines="0"/>
              <w:ind w:left="0" w:leftChars="0" w:right="0" w:rightChars="0" w:firstLine="0" w:firstLineChars="0"/>
              <w:jc w:val="left"/>
              <w:rPr>
                <w:sz w:val="18"/>
                <w:szCs w:val="18"/>
              </w:rPr>
            </w:pPr>
            <w:r>
              <w:rPr>
                <w:sz w:val="18"/>
                <w:szCs w:val="18"/>
                <w:lang w:bidi="ar"/>
              </w:rPr>
              <w:t>PCR</w:t>
            </w:r>
          </w:p>
        </w:tc>
        <w:tc>
          <w:tcPr>
            <w:tcW w:w="1164" w:type="dxa"/>
            <w:tcBorders>
              <w:top w:val="nil"/>
              <w:left w:val="nil"/>
              <w:bottom w:val="nil"/>
              <w:right w:val="nil"/>
            </w:tcBorders>
            <w:shd w:val="clear" w:color="auto" w:fill="FFFFFF" w:themeFill="background1"/>
            <w:noWrap/>
            <w:vAlign w:val="top"/>
          </w:tcPr>
          <w:p w14:paraId="3C68DB1B">
            <w:pPr>
              <w:snapToGrid w:val="0"/>
              <w:spacing w:before="0" w:beforeLines="0" w:after="0" w:afterLines="0"/>
              <w:ind w:left="0" w:leftChars="0" w:right="0" w:rightChars="0" w:firstLine="0" w:firstLineChars="0"/>
              <w:jc w:val="center"/>
              <w:rPr>
                <w:sz w:val="18"/>
                <w:szCs w:val="18"/>
              </w:rPr>
            </w:pPr>
            <w:r>
              <w:rPr>
                <w:sz w:val="18"/>
                <w:szCs w:val="18"/>
                <w:lang w:bidi="ar"/>
              </w:rPr>
              <w:t>Specificity</w:t>
            </w:r>
          </w:p>
        </w:tc>
        <w:tc>
          <w:tcPr>
            <w:tcW w:w="940" w:type="dxa"/>
            <w:tcBorders>
              <w:top w:val="nil"/>
              <w:left w:val="nil"/>
              <w:bottom w:val="nil"/>
              <w:right w:val="nil"/>
            </w:tcBorders>
            <w:shd w:val="clear" w:color="auto" w:fill="FFFFFF" w:themeFill="background1"/>
            <w:noWrap/>
            <w:vAlign w:val="top"/>
          </w:tcPr>
          <w:p w14:paraId="1DAA6CDC">
            <w:pPr>
              <w:snapToGrid w:val="0"/>
              <w:spacing w:before="0" w:beforeLines="0" w:after="0" w:afterLines="0"/>
              <w:ind w:left="0" w:leftChars="0" w:right="0" w:rightChars="0" w:firstLine="0" w:firstLineChars="0"/>
              <w:jc w:val="center"/>
              <w:rPr>
                <w:sz w:val="18"/>
                <w:szCs w:val="18"/>
              </w:rPr>
            </w:pPr>
            <w:r>
              <w:rPr>
                <w:sz w:val="18"/>
                <w:szCs w:val="18"/>
                <w:lang w:bidi="ar"/>
              </w:rPr>
              <w:t>32.7%</w:t>
            </w:r>
          </w:p>
        </w:tc>
      </w:tr>
      <w:tr w14:paraId="53FA8C48">
        <w:tblPrEx>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7207AC94">
            <w:pPr>
              <w:snapToGrid w:val="0"/>
              <w:spacing w:before="0" w:beforeLines="0" w:after="0" w:afterLines="0"/>
              <w:ind w:left="0" w:leftChars="0" w:right="0" w:rightChars="0" w:firstLine="0" w:firstLineChars="0"/>
              <w:jc w:val="left"/>
              <w:rPr>
                <w:sz w:val="18"/>
                <w:szCs w:val="18"/>
              </w:rPr>
            </w:pPr>
            <w:r>
              <w:rPr>
                <w:sz w:val="18"/>
                <w:szCs w:val="18"/>
                <w:lang w:bidi="ar"/>
              </w:rPr>
              <w:t>Franco 2010</w:t>
            </w:r>
          </w:p>
        </w:tc>
        <w:tc>
          <w:tcPr>
            <w:tcW w:w="1902" w:type="dxa"/>
            <w:tcBorders>
              <w:top w:val="nil"/>
              <w:left w:val="nil"/>
              <w:bottom w:val="nil"/>
              <w:right w:val="nil"/>
            </w:tcBorders>
            <w:shd w:val="clear" w:color="auto" w:fill="FFFFFF" w:themeFill="background1"/>
            <w:vAlign w:val="top"/>
          </w:tcPr>
          <w:p w14:paraId="2B749DC2">
            <w:pPr>
              <w:snapToGrid w:val="0"/>
              <w:spacing w:before="0" w:beforeLines="0" w:after="0" w:afterLines="0"/>
              <w:ind w:left="0" w:leftChars="0" w:right="0" w:rightChars="0" w:firstLine="0" w:firstLineChars="0"/>
              <w:jc w:val="left"/>
              <w:rPr>
                <w:sz w:val="18"/>
                <w:szCs w:val="18"/>
              </w:rPr>
            </w:pPr>
            <w:r>
              <w:rPr>
                <w:sz w:val="18"/>
                <w:szCs w:val="18"/>
                <w:lang w:bidi="ar"/>
              </w:rPr>
              <w:t xml:space="preserve">IRPA </w:t>
            </w:r>
          </w:p>
        </w:tc>
        <w:tc>
          <w:tcPr>
            <w:tcW w:w="1373" w:type="dxa"/>
            <w:tcBorders>
              <w:top w:val="nil"/>
              <w:left w:val="nil"/>
              <w:bottom w:val="nil"/>
              <w:right w:val="nil"/>
            </w:tcBorders>
            <w:shd w:val="clear" w:color="auto" w:fill="FFFFFF" w:themeFill="background1"/>
            <w:noWrap/>
            <w:vAlign w:val="top"/>
          </w:tcPr>
          <w:p w14:paraId="33D4D5D9">
            <w:pPr>
              <w:snapToGrid w:val="0"/>
              <w:spacing w:before="0" w:beforeLines="0" w:after="0" w:afterLines="0"/>
              <w:ind w:left="0" w:leftChars="0" w:right="0" w:rightChars="0" w:firstLine="0" w:firstLineChars="0"/>
              <w:jc w:val="center"/>
              <w:rPr>
                <w:sz w:val="18"/>
                <w:szCs w:val="18"/>
              </w:rPr>
            </w:pPr>
            <w:r>
              <w:rPr>
                <w:sz w:val="18"/>
                <w:szCs w:val="18"/>
                <w:lang w:bidi="ar"/>
              </w:rPr>
              <w:t>69</w:t>
            </w:r>
          </w:p>
        </w:tc>
        <w:tc>
          <w:tcPr>
            <w:tcW w:w="2409" w:type="dxa"/>
            <w:tcBorders>
              <w:top w:val="nil"/>
              <w:left w:val="nil"/>
              <w:bottom w:val="nil"/>
              <w:right w:val="nil"/>
            </w:tcBorders>
            <w:shd w:val="clear" w:color="auto" w:fill="FFFFFF" w:themeFill="background1"/>
            <w:noWrap/>
            <w:vAlign w:val="top"/>
          </w:tcPr>
          <w:p w14:paraId="071CAC6B">
            <w:pPr>
              <w:snapToGrid w:val="0"/>
              <w:spacing w:before="0" w:beforeLines="0" w:after="0" w:afterLines="0"/>
              <w:ind w:left="0" w:leftChars="0" w:right="0" w:rightChars="0" w:firstLine="0" w:firstLineChars="0"/>
              <w:jc w:val="left"/>
              <w:rPr>
                <w:sz w:val="18"/>
                <w:szCs w:val="18"/>
              </w:rPr>
            </w:pPr>
            <w:r>
              <w:rPr>
                <w:sz w:val="18"/>
                <w:szCs w:val="18"/>
                <w:lang w:bidi="ar"/>
              </w:rPr>
              <w:t>blaSPM-1</w:t>
            </w:r>
          </w:p>
        </w:tc>
        <w:tc>
          <w:tcPr>
            <w:tcW w:w="3239" w:type="dxa"/>
            <w:tcBorders>
              <w:top w:val="nil"/>
              <w:left w:val="nil"/>
              <w:bottom w:val="nil"/>
              <w:right w:val="nil"/>
            </w:tcBorders>
            <w:shd w:val="clear" w:color="auto" w:fill="FFFFFF" w:themeFill="background1"/>
            <w:vAlign w:val="top"/>
          </w:tcPr>
          <w:p w14:paraId="720F3C64">
            <w:pPr>
              <w:snapToGrid w:val="0"/>
              <w:spacing w:before="0" w:beforeLines="0" w:after="0" w:afterLines="0"/>
              <w:ind w:left="0" w:leftChars="0" w:right="0" w:rightChars="0" w:firstLine="0" w:firstLineChars="0"/>
              <w:jc w:val="left"/>
              <w:rPr>
                <w:sz w:val="18"/>
                <w:szCs w:val="18"/>
              </w:rPr>
            </w:pPr>
            <w:r>
              <w:rPr>
                <w:sz w:val="18"/>
                <w:szCs w:val="18"/>
                <w:lang w:bidi="ar"/>
              </w:rPr>
              <w:t>Modified Hodge Test (MHT)</w:t>
            </w:r>
          </w:p>
        </w:tc>
        <w:tc>
          <w:tcPr>
            <w:tcW w:w="2007" w:type="dxa"/>
            <w:tcBorders>
              <w:top w:val="nil"/>
              <w:left w:val="nil"/>
              <w:bottom w:val="nil"/>
              <w:right w:val="nil"/>
            </w:tcBorders>
            <w:shd w:val="clear" w:color="auto" w:fill="FFFFFF" w:themeFill="background1"/>
            <w:vAlign w:val="top"/>
          </w:tcPr>
          <w:p w14:paraId="4D8CB905">
            <w:pPr>
              <w:snapToGrid w:val="0"/>
              <w:spacing w:before="0" w:beforeLines="0" w:after="0" w:afterLines="0"/>
              <w:ind w:left="0" w:leftChars="0" w:right="0" w:rightChars="0" w:firstLine="0" w:firstLineChars="0"/>
              <w:jc w:val="left"/>
              <w:rPr>
                <w:sz w:val="18"/>
                <w:szCs w:val="18"/>
              </w:rPr>
            </w:pPr>
            <w:r>
              <w:rPr>
                <w:sz w:val="18"/>
                <w:szCs w:val="18"/>
                <w:lang w:bidi="ar"/>
              </w:rPr>
              <w:t>PCR</w:t>
            </w:r>
          </w:p>
        </w:tc>
        <w:tc>
          <w:tcPr>
            <w:tcW w:w="1164" w:type="dxa"/>
            <w:tcBorders>
              <w:top w:val="nil"/>
              <w:left w:val="nil"/>
              <w:bottom w:val="nil"/>
              <w:right w:val="nil"/>
            </w:tcBorders>
            <w:shd w:val="clear" w:color="auto" w:fill="FFFFFF" w:themeFill="background1"/>
            <w:noWrap/>
            <w:vAlign w:val="top"/>
          </w:tcPr>
          <w:p w14:paraId="2AA2D5DA">
            <w:pPr>
              <w:snapToGrid w:val="0"/>
              <w:spacing w:before="0" w:beforeLines="0" w:after="0" w:afterLines="0"/>
              <w:ind w:left="0" w:leftChars="0" w:right="0" w:rightChars="0" w:firstLine="0" w:firstLineChars="0"/>
              <w:jc w:val="center"/>
              <w:rPr>
                <w:sz w:val="18"/>
                <w:szCs w:val="18"/>
              </w:rPr>
            </w:pPr>
            <w:r>
              <w:rPr>
                <w:sz w:val="18"/>
                <w:szCs w:val="18"/>
                <w:lang w:bidi="ar"/>
              </w:rPr>
              <w:t>Sensitivity</w:t>
            </w:r>
          </w:p>
        </w:tc>
        <w:tc>
          <w:tcPr>
            <w:tcW w:w="940" w:type="dxa"/>
            <w:tcBorders>
              <w:top w:val="nil"/>
              <w:left w:val="nil"/>
              <w:bottom w:val="nil"/>
              <w:right w:val="nil"/>
            </w:tcBorders>
            <w:shd w:val="clear" w:color="auto" w:fill="FFFFFF" w:themeFill="background1"/>
            <w:noWrap/>
            <w:vAlign w:val="top"/>
          </w:tcPr>
          <w:p w14:paraId="43F2C84A">
            <w:pPr>
              <w:snapToGrid w:val="0"/>
              <w:spacing w:before="0" w:beforeLines="0" w:after="0" w:afterLines="0"/>
              <w:ind w:left="0" w:leftChars="0" w:right="0" w:rightChars="0" w:firstLine="0" w:firstLineChars="0"/>
              <w:jc w:val="center"/>
              <w:rPr>
                <w:sz w:val="18"/>
                <w:szCs w:val="18"/>
              </w:rPr>
            </w:pPr>
            <w:r>
              <w:rPr>
                <w:sz w:val="18"/>
                <w:szCs w:val="18"/>
                <w:lang w:bidi="ar"/>
              </w:rPr>
              <w:t>82.4%</w:t>
            </w:r>
          </w:p>
        </w:tc>
      </w:tr>
      <w:tr w14:paraId="43C90465">
        <w:tblPrEx>
          <w:shd w:val="clear" w:color="auto" w:fill="FFFFFF" w:themeFill="background1"/>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4DE49859">
            <w:pPr>
              <w:snapToGrid w:val="0"/>
              <w:spacing w:before="0" w:beforeLines="0" w:after="0" w:afterLines="0"/>
              <w:ind w:left="0" w:leftChars="0" w:right="0" w:rightChars="0" w:firstLine="0" w:firstLineChars="0"/>
              <w:jc w:val="left"/>
              <w:rPr>
                <w:sz w:val="18"/>
                <w:szCs w:val="18"/>
              </w:rPr>
            </w:pPr>
            <w:r>
              <w:rPr>
                <w:sz w:val="18"/>
                <w:szCs w:val="18"/>
                <w:lang w:bidi="ar"/>
              </w:rPr>
              <w:t>Franco 2010</w:t>
            </w:r>
          </w:p>
        </w:tc>
        <w:tc>
          <w:tcPr>
            <w:tcW w:w="1902" w:type="dxa"/>
            <w:tcBorders>
              <w:top w:val="nil"/>
              <w:left w:val="nil"/>
              <w:bottom w:val="nil"/>
              <w:right w:val="nil"/>
            </w:tcBorders>
            <w:shd w:val="clear" w:color="auto" w:fill="FFFFFF" w:themeFill="background1"/>
            <w:vAlign w:val="top"/>
          </w:tcPr>
          <w:p w14:paraId="55B56147">
            <w:pPr>
              <w:snapToGrid w:val="0"/>
              <w:spacing w:before="0" w:beforeLines="0" w:after="0" w:afterLines="0"/>
              <w:ind w:left="0" w:leftChars="0" w:right="0" w:rightChars="0" w:firstLine="0" w:firstLineChars="0"/>
              <w:jc w:val="left"/>
              <w:rPr>
                <w:sz w:val="18"/>
                <w:szCs w:val="18"/>
              </w:rPr>
            </w:pPr>
            <w:r>
              <w:rPr>
                <w:sz w:val="18"/>
                <w:szCs w:val="18"/>
                <w:lang w:bidi="ar"/>
              </w:rPr>
              <w:t xml:space="preserve">IRPA </w:t>
            </w:r>
          </w:p>
        </w:tc>
        <w:tc>
          <w:tcPr>
            <w:tcW w:w="1373" w:type="dxa"/>
            <w:tcBorders>
              <w:top w:val="nil"/>
              <w:left w:val="nil"/>
              <w:bottom w:val="nil"/>
              <w:right w:val="nil"/>
            </w:tcBorders>
            <w:shd w:val="clear" w:color="auto" w:fill="FFFFFF" w:themeFill="background1"/>
            <w:noWrap/>
            <w:vAlign w:val="top"/>
          </w:tcPr>
          <w:p w14:paraId="2A61BD8E">
            <w:pPr>
              <w:snapToGrid w:val="0"/>
              <w:spacing w:before="0" w:beforeLines="0" w:after="0" w:afterLines="0"/>
              <w:ind w:left="0" w:leftChars="0" w:right="0" w:rightChars="0" w:firstLine="0" w:firstLineChars="0"/>
              <w:jc w:val="center"/>
              <w:rPr>
                <w:sz w:val="18"/>
                <w:szCs w:val="18"/>
              </w:rPr>
            </w:pPr>
            <w:r>
              <w:rPr>
                <w:sz w:val="18"/>
                <w:szCs w:val="18"/>
                <w:lang w:bidi="ar"/>
              </w:rPr>
              <w:t>69</w:t>
            </w:r>
          </w:p>
        </w:tc>
        <w:tc>
          <w:tcPr>
            <w:tcW w:w="2409" w:type="dxa"/>
            <w:tcBorders>
              <w:top w:val="nil"/>
              <w:left w:val="nil"/>
              <w:bottom w:val="nil"/>
              <w:right w:val="nil"/>
            </w:tcBorders>
            <w:shd w:val="clear" w:color="auto" w:fill="FFFFFF" w:themeFill="background1"/>
            <w:noWrap/>
            <w:vAlign w:val="top"/>
          </w:tcPr>
          <w:p w14:paraId="02B1C57C">
            <w:pPr>
              <w:snapToGrid w:val="0"/>
              <w:spacing w:before="0" w:beforeLines="0" w:after="0" w:afterLines="0"/>
              <w:ind w:left="0" w:leftChars="0" w:right="0" w:rightChars="0" w:firstLine="0" w:firstLineChars="0"/>
              <w:jc w:val="left"/>
              <w:rPr>
                <w:sz w:val="18"/>
                <w:szCs w:val="18"/>
              </w:rPr>
            </w:pPr>
            <w:r>
              <w:rPr>
                <w:sz w:val="18"/>
                <w:szCs w:val="18"/>
                <w:lang w:bidi="ar"/>
              </w:rPr>
              <w:t>blaSPM-1</w:t>
            </w:r>
          </w:p>
        </w:tc>
        <w:tc>
          <w:tcPr>
            <w:tcW w:w="3239" w:type="dxa"/>
            <w:tcBorders>
              <w:top w:val="nil"/>
              <w:left w:val="nil"/>
              <w:bottom w:val="nil"/>
              <w:right w:val="nil"/>
            </w:tcBorders>
            <w:shd w:val="clear" w:color="auto" w:fill="FFFFFF" w:themeFill="background1"/>
            <w:vAlign w:val="top"/>
          </w:tcPr>
          <w:p w14:paraId="78F1D1CD">
            <w:pPr>
              <w:snapToGrid w:val="0"/>
              <w:spacing w:before="0" w:beforeLines="0" w:after="0" w:afterLines="0"/>
              <w:ind w:left="0" w:leftChars="0" w:right="0" w:rightChars="0" w:firstLine="0" w:firstLineChars="0"/>
              <w:jc w:val="left"/>
              <w:rPr>
                <w:sz w:val="18"/>
                <w:szCs w:val="18"/>
              </w:rPr>
            </w:pPr>
            <w:r>
              <w:rPr>
                <w:sz w:val="18"/>
                <w:szCs w:val="18"/>
                <w:lang w:bidi="ar"/>
              </w:rPr>
              <w:t>Modified Hodge Test (MHT)</w:t>
            </w:r>
          </w:p>
        </w:tc>
        <w:tc>
          <w:tcPr>
            <w:tcW w:w="2007" w:type="dxa"/>
            <w:tcBorders>
              <w:top w:val="nil"/>
              <w:left w:val="nil"/>
              <w:bottom w:val="nil"/>
              <w:right w:val="nil"/>
            </w:tcBorders>
            <w:shd w:val="clear" w:color="auto" w:fill="FFFFFF" w:themeFill="background1"/>
            <w:vAlign w:val="top"/>
          </w:tcPr>
          <w:p w14:paraId="700AA8AC">
            <w:pPr>
              <w:snapToGrid w:val="0"/>
              <w:spacing w:before="0" w:beforeLines="0" w:after="0" w:afterLines="0"/>
              <w:ind w:left="0" w:leftChars="0" w:right="0" w:rightChars="0" w:firstLine="0" w:firstLineChars="0"/>
              <w:jc w:val="left"/>
              <w:rPr>
                <w:sz w:val="18"/>
                <w:szCs w:val="18"/>
              </w:rPr>
            </w:pPr>
            <w:r>
              <w:rPr>
                <w:sz w:val="18"/>
                <w:szCs w:val="18"/>
                <w:lang w:bidi="ar"/>
              </w:rPr>
              <w:t>PCR</w:t>
            </w:r>
          </w:p>
        </w:tc>
        <w:tc>
          <w:tcPr>
            <w:tcW w:w="1164" w:type="dxa"/>
            <w:tcBorders>
              <w:top w:val="nil"/>
              <w:left w:val="nil"/>
              <w:bottom w:val="nil"/>
              <w:right w:val="nil"/>
            </w:tcBorders>
            <w:shd w:val="clear" w:color="auto" w:fill="FFFFFF" w:themeFill="background1"/>
            <w:noWrap/>
            <w:vAlign w:val="top"/>
          </w:tcPr>
          <w:p w14:paraId="63F5C159">
            <w:pPr>
              <w:snapToGrid w:val="0"/>
              <w:spacing w:before="0" w:beforeLines="0" w:after="0" w:afterLines="0"/>
              <w:ind w:left="0" w:leftChars="0" w:right="0" w:rightChars="0" w:firstLine="0" w:firstLineChars="0"/>
              <w:jc w:val="center"/>
              <w:rPr>
                <w:sz w:val="18"/>
                <w:szCs w:val="18"/>
              </w:rPr>
            </w:pPr>
            <w:r>
              <w:rPr>
                <w:sz w:val="18"/>
                <w:szCs w:val="18"/>
                <w:lang w:bidi="ar"/>
              </w:rPr>
              <w:t>Specificity</w:t>
            </w:r>
          </w:p>
        </w:tc>
        <w:tc>
          <w:tcPr>
            <w:tcW w:w="940" w:type="dxa"/>
            <w:tcBorders>
              <w:top w:val="nil"/>
              <w:left w:val="nil"/>
              <w:bottom w:val="nil"/>
              <w:right w:val="nil"/>
            </w:tcBorders>
            <w:shd w:val="clear" w:color="auto" w:fill="FFFFFF" w:themeFill="background1"/>
            <w:noWrap/>
            <w:vAlign w:val="top"/>
          </w:tcPr>
          <w:p w14:paraId="66075EB4">
            <w:pPr>
              <w:snapToGrid w:val="0"/>
              <w:spacing w:before="0" w:beforeLines="0" w:after="0" w:afterLines="0"/>
              <w:ind w:left="0" w:leftChars="0" w:right="0" w:rightChars="0" w:firstLine="0" w:firstLineChars="0"/>
              <w:jc w:val="center"/>
              <w:rPr>
                <w:sz w:val="18"/>
                <w:szCs w:val="18"/>
              </w:rPr>
            </w:pPr>
            <w:r>
              <w:rPr>
                <w:sz w:val="18"/>
                <w:szCs w:val="18"/>
                <w:lang w:bidi="ar"/>
              </w:rPr>
              <w:t>90.4%</w:t>
            </w:r>
          </w:p>
        </w:tc>
      </w:tr>
      <w:tr w14:paraId="423E6186">
        <w:tblPrEx>
          <w:shd w:val="clear" w:color="auto" w:fill="FFFFFF" w:themeFill="background1"/>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11BA6AD7">
            <w:pPr>
              <w:snapToGrid w:val="0"/>
              <w:spacing w:before="0" w:beforeLines="0" w:after="0" w:afterLines="0"/>
              <w:ind w:left="0" w:leftChars="0" w:right="0" w:rightChars="0" w:firstLine="0" w:firstLineChars="0"/>
              <w:jc w:val="left"/>
              <w:rPr>
                <w:sz w:val="18"/>
                <w:szCs w:val="18"/>
              </w:rPr>
            </w:pPr>
            <w:r>
              <w:rPr>
                <w:sz w:val="18"/>
                <w:szCs w:val="18"/>
                <w:lang w:bidi="ar"/>
              </w:rPr>
              <w:t>Gill 2022</w:t>
            </w:r>
          </w:p>
        </w:tc>
        <w:tc>
          <w:tcPr>
            <w:tcW w:w="1902" w:type="dxa"/>
            <w:tcBorders>
              <w:top w:val="nil"/>
              <w:left w:val="nil"/>
              <w:bottom w:val="nil"/>
              <w:right w:val="nil"/>
            </w:tcBorders>
            <w:shd w:val="clear" w:color="auto" w:fill="FFFFFF" w:themeFill="background1"/>
            <w:noWrap/>
            <w:vAlign w:val="top"/>
          </w:tcPr>
          <w:p w14:paraId="37A16CE8">
            <w:pPr>
              <w:snapToGrid w:val="0"/>
              <w:spacing w:before="0" w:beforeLines="0" w:after="0" w:afterLines="0"/>
              <w:ind w:left="0" w:leftChars="0" w:right="0" w:rightChars="0" w:firstLine="0" w:firstLineChars="0"/>
              <w:jc w:val="left"/>
              <w:rPr>
                <w:sz w:val="18"/>
                <w:szCs w:val="18"/>
              </w:rPr>
            </w:pPr>
            <w:r>
              <w:rPr>
                <w:sz w:val="18"/>
                <w:szCs w:val="18"/>
                <w:lang w:bidi="ar"/>
              </w:rPr>
              <w:t>CRPA</w:t>
            </w:r>
          </w:p>
        </w:tc>
        <w:tc>
          <w:tcPr>
            <w:tcW w:w="1373" w:type="dxa"/>
            <w:tcBorders>
              <w:top w:val="nil"/>
              <w:left w:val="nil"/>
              <w:bottom w:val="nil"/>
              <w:right w:val="nil"/>
            </w:tcBorders>
            <w:shd w:val="clear" w:color="auto" w:fill="FFFFFF" w:themeFill="background1"/>
            <w:noWrap/>
            <w:vAlign w:val="top"/>
          </w:tcPr>
          <w:p w14:paraId="46DBDFF7">
            <w:pPr>
              <w:snapToGrid w:val="0"/>
              <w:spacing w:before="0" w:beforeLines="0" w:after="0" w:afterLines="0"/>
              <w:ind w:left="0" w:leftChars="0" w:right="0" w:rightChars="0" w:firstLine="0" w:firstLineChars="0"/>
              <w:jc w:val="center"/>
              <w:rPr>
                <w:sz w:val="18"/>
                <w:szCs w:val="18"/>
              </w:rPr>
            </w:pPr>
            <w:r>
              <w:rPr>
                <w:sz w:val="18"/>
                <w:szCs w:val="18"/>
                <w:lang w:bidi="ar"/>
              </w:rPr>
              <w:t>464</w:t>
            </w:r>
          </w:p>
        </w:tc>
        <w:tc>
          <w:tcPr>
            <w:tcW w:w="2409" w:type="dxa"/>
            <w:tcBorders>
              <w:top w:val="nil"/>
              <w:left w:val="nil"/>
              <w:bottom w:val="nil"/>
              <w:right w:val="nil"/>
            </w:tcBorders>
            <w:shd w:val="clear" w:color="auto" w:fill="FFFFFF" w:themeFill="background1"/>
            <w:noWrap/>
            <w:vAlign w:val="top"/>
          </w:tcPr>
          <w:p w14:paraId="7C2BDED8">
            <w:pPr>
              <w:snapToGrid w:val="0"/>
              <w:spacing w:before="0" w:beforeLines="0" w:after="0" w:afterLines="0"/>
              <w:ind w:left="0" w:leftChars="0" w:right="0" w:rightChars="0" w:firstLine="0" w:firstLineChars="0"/>
              <w:jc w:val="left"/>
              <w:rPr>
                <w:sz w:val="18"/>
                <w:szCs w:val="18"/>
              </w:rPr>
            </w:pPr>
            <w:r>
              <w:rPr>
                <w:sz w:val="18"/>
                <w:szCs w:val="18"/>
                <w:lang w:bidi="ar"/>
              </w:rPr>
              <w:t xml:space="preserve">VIM, IMP, NDM, KPC, GES, VIM and IMP, VIM and OXA, VIM and KPC, No targets identified </w:t>
            </w:r>
          </w:p>
        </w:tc>
        <w:tc>
          <w:tcPr>
            <w:tcW w:w="3239" w:type="dxa"/>
            <w:tcBorders>
              <w:top w:val="nil"/>
              <w:left w:val="nil"/>
              <w:bottom w:val="nil"/>
              <w:right w:val="nil"/>
            </w:tcBorders>
            <w:shd w:val="clear" w:color="auto" w:fill="FFFFFF" w:themeFill="background1"/>
            <w:vAlign w:val="top"/>
          </w:tcPr>
          <w:p w14:paraId="3A10F5B0">
            <w:pPr>
              <w:snapToGrid w:val="0"/>
              <w:spacing w:before="0" w:beforeLines="0" w:after="0" w:afterLines="0"/>
              <w:ind w:left="0" w:leftChars="0" w:right="0" w:rightChars="0" w:firstLine="0" w:firstLineChars="0"/>
              <w:jc w:val="left"/>
              <w:rPr>
                <w:sz w:val="18"/>
                <w:szCs w:val="18"/>
              </w:rPr>
            </w:pPr>
            <w:r>
              <w:rPr>
                <w:sz w:val="18"/>
                <w:szCs w:val="18"/>
                <w:lang w:bidi="ar"/>
              </w:rPr>
              <w:t>Primary Algorithm Criterion: Imipenem- or Meropenem-R Plus  Ceftazidime-NS Plus Cefepime-NS</w:t>
            </w:r>
          </w:p>
        </w:tc>
        <w:tc>
          <w:tcPr>
            <w:tcW w:w="2007" w:type="dxa"/>
            <w:tcBorders>
              <w:top w:val="nil"/>
              <w:left w:val="nil"/>
              <w:bottom w:val="nil"/>
              <w:right w:val="nil"/>
            </w:tcBorders>
            <w:shd w:val="clear" w:color="auto" w:fill="FFFFFF" w:themeFill="background1"/>
            <w:vAlign w:val="top"/>
          </w:tcPr>
          <w:p w14:paraId="37AE2619">
            <w:pPr>
              <w:snapToGrid w:val="0"/>
              <w:spacing w:before="0" w:beforeLines="0" w:after="0" w:afterLines="0"/>
              <w:ind w:left="0" w:leftChars="0" w:right="0" w:rightChars="0" w:firstLine="0" w:firstLineChars="0"/>
              <w:jc w:val="left"/>
              <w:rPr>
                <w:sz w:val="18"/>
                <w:szCs w:val="18"/>
              </w:rPr>
            </w:pPr>
            <w:r>
              <w:rPr>
                <w:sz w:val="18"/>
                <w:szCs w:val="18"/>
                <w:lang w:bidi="ar"/>
              </w:rPr>
              <w:t>PCR or or whole-genome sequencing</w:t>
            </w:r>
          </w:p>
        </w:tc>
        <w:tc>
          <w:tcPr>
            <w:tcW w:w="1164" w:type="dxa"/>
            <w:tcBorders>
              <w:top w:val="nil"/>
              <w:left w:val="nil"/>
              <w:bottom w:val="nil"/>
              <w:right w:val="nil"/>
            </w:tcBorders>
            <w:shd w:val="clear" w:color="auto" w:fill="FFFFFF" w:themeFill="background1"/>
            <w:noWrap/>
            <w:vAlign w:val="top"/>
          </w:tcPr>
          <w:p w14:paraId="2EF859A9">
            <w:pPr>
              <w:snapToGrid w:val="0"/>
              <w:spacing w:before="0" w:beforeLines="0" w:after="0" w:afterLines="0"/>
              <w:ind w:left="0" w:leftChars="0" w:right="0" w:rightChars="0" w:firstLine="0" w:firstLineChars="0"/>
              <w:jc w:val="center"/>
              <w:rPr>
                <w:sz w:val="18"/>
                <w:szCs w:val="18"/>
              </w:rPr>
            </w:pPr>
            <w:r>
              <w:rPr>
                <w:sz w:val="18"/>
                <w:szCs w:val="18"/>
                <w:lang w:bidi="ar"/>
              </w:rPr>
              <w:t>Sensitivity</w:t>
            </w:r>
          </w:p>
        </w:tc>
        <w:tc>
          <w:tcPr>
            <w:tcW w:w="940" w:type="dxa"/>
            <w:tcBorders>
              <w:top w:val="nil"/>
              <w:left w:val="nil"/>
              <w:bottom w:val="nil"/>
              <w:right w:val="nil"/>
            </w:tcBorders>
            <w:shd w:val="clear" w:color="auto" w:fill="FFFFFF" w:themeFill="background1"/>
            <w:noWrap/>
            <w:vAlign w:val="top"/>
          </w:tcPr>
          <w:p w14:paraId="0894744D">
            <w:pPr>
              <w:snapToGrid w:val="0"/>
              <w:spacing w:before="0" w:beforeLines="0" w:after="0" w:afterLines="0"/>
              <w:ind w:left="0" w:leftChars="0" w:right="0" w:rightChars="0" w:firstLine="0" w:firstLineChars="0"/>
              <w:jc w:val="center"/>
              <w:rPr>
                <w:sz w:val="18"/>
                <w:szCs w:val="18"/>
              </w:rPr>
            </w:pPr>
            <w:r>
              <w:rPr>
                <w:sz w:val="18"/>
                <w:szCs w:val="18"/>
                <w:lang w:bidi="ar"/>
              </w:rPr>
              <w:t>85.0%</w:t>
            </w:r>
          </w:p>
        </w:tc>
      </w:tr>
      <w:tr w14:paraId="0BA67E9E">
        <w:tblPrEx>
          <w:shd w:val="clear" w:color="auto" w:fill="FFFFFF" w:themeFill="background1"/>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6E302A51">
            <w:pPr>
              <w:snapToGrid w:val="0"/>
              <w:spacing w:before="0" w:beforeLines="0" w:after="0" w:afterLines="0"/>
              <w:ind w:left="0" w:leftChars="0" w:right="0" w:rightChars="0" w:firstLine="0" w:firstLineChars="0"/>
              <w:jc w:val="left"/>
              <w:rPr>
                <w:sz w:val="18"/>
                <w:szCs w:val="18"/>
              </w:rPr>
            </w:pPr>
            <w:r>
              <w:rPr>
                <w:sz w:val="18"/>
                <w:szCs w:val="18"/>
                <w:lang w:bidi="ar"/>
              </w:rPr>
              <w:t>Gill 2022</w:t>
            </w:r>
          </w:p>
        </w:tc>
        <w:tc>
          <w:tcPr>
            <w:tcW w:w="1902" w:type="dxa"/>
            <w:tcBorders>
              <w:top w:val="nil"/>
              <w:left w:val="nil"/>
              <w:bottom w:val="nil"/>
              <w:right w:val="nil"/>
            </w:tcBorders>
            <w:shd w:val="clear" w:color="auto" w:fill="FFFFFF" w:themeFill="background1"/>
            <w:noWrap/>
            <w:vAlign w:val="top"/>
          </w:tcPr>
          <w:p w14:paraId="48D4610F">
            <w:pPr>
              <w:snapToGrid w:val="0"/>
              <w:spacing w:before="0" w:beforeLines="0" w:after="0" w:afterLines="0"/>
              <w:ind w:left="0" w:leftChars="0" w:right="0" w:rightChars="0" w:firstLine="0" w:firstLineChars="0"/>
              <w:jc w:val="left"/>
              <w:rPr>
                <w:sz w:val="18"/>
                <w:szCs w:val="18"/>
              </w:rPr>
            </w:pPr>
            <w:r>
              <w:rPr>
                <w:sz w:val="18"/>
                <w:szCs w:val="18"/>
                <w:lang w:bidi="ar"/>
              </w:rPr>
              <w:t>CRPA</w:t>
            </w:r>
          </w:p>
        </w:tc>
        <w:tc>
          <w:tcPr>
            <w:tcW w:w="1373" w:type="dxa"/>
            <w:tcBorders>
              <w:top w:val="nil"/>
              <w:left w:val="nil"/>
              <w:bottom w:val="nil"/>
              <w:right w:val="nil"/>
            </w:tcBorders>
            <w:shd w:val="clear" w:color="auto" w:fill="FFFFFF" w:themeFill="background1"/>
            <w:noWrap/>
            <w:vAlign w:val="top"/>
          </w:tcPr>
          <w:p w14:paraId="169C4B34">
            <w:pPr>
              <w:snapToGrid w:val="0"/>
              <w:spacing w:before="0" w:beforeLines="0" w:after="0" w:afterLines="0"/>
              <w:ind w:left="0" w:leftChars="0" w:right="0" w:rightChars="0" w:firstLine="0" w:firstLineChars="0"/>
              <w:jc w:val="center"/>
              <w:rPr>
                <w:sz w:val="18"/>
                <w:szCs w:val="18"/>
              </w:rPr>
            </w:pPr>
            <w:r>
              <w:rPr>
                <w:sz w:val="18"/>
                <w:szCs w:val="18"/>
                <w:lang w:bidi="ar"/>
              </w:rPr>
              <w:t>464</w:t>
            </w:r>
          </w:p>
        </w:tc>
        <w:tc>
          <w:tcPr>
            <w:tcW w:w="2409" w:type="dxa"/>
            <w:tcBorders>
              <w:top w:val="nil"/>
              <w:left w:val="nil"/>
              <w:bottom w:val="nil"/>
              <w:right w:val="nil"/>
            </w:tcBorders>
            <w:shd w:val="clear" w:color="auto" w:fill="FFFFFF" w:themeFill="background1"/>
            <w:noWrap/>
            <w:vAlign w:val="top"/>
          </w:tcPr>
          <w:p w14:paraId="04FDB9B3">
            <w:pPr>
              <w:snapToGrid w:val="0"/>
              <w:spacing w:before="0" w:beforeLines="0" w:after="0" w:afterLines="0"/>
              <w:ind w:left="0" w:leftChars="0" w:right="0" w:rightChars="0" w:firstLine="0" w:firstLineChars="0"/>
              <w:jc w:val="left"/>
              <w:rPr>
                <w:sz w:val="18"/>
                <w:szCs w:val="18"/>
              </w:rPr>
            </w:pPr>
            <w:r>
              <w:rPr>
                <w:sz w:val="18"/>
                <w:szCs w:val="18"/>
                <w:lang w:bidi="ar"/>
              </w:rPr>
              <w:t xml:space="preserve">VIM, IMP, NDM, KPC, GES, VIM and IMP, VIM and OXA, VIM and KPC, No targets identified </w:t>
            </w:r>
          </w:p>
        </w:tc>
        <w:tc>
          <w:tcPr>
            <w:tcW w:w="3239" w:type="dxa"/>
            <w:tcBorders>
              <w:top w:val="nil"/>
              <w:left w:val="nil"/>
              <w:bottom w:val="nil"/>
              <w:right w:val="nil"/>
            </w:tcBorders>
            <w:shd w:val="clear" w:color="auto" w:fill="FFFFFF" w:themeFill="background1"/>
            <w:vAlign w:val="top"/>
          </w:tcPr>
          <w:p w14:paraId="14C9B729">
            <w:pPr>
              <w:snapToGrid w:val="0"/>
              <w:spacing w:before="0" w:beforeLines="0" w:after="0" w:afterLines="0"/>
              <w:ind w:left="0" w:leftChars="0" w:right="0" w:rightChars="0" w:firstLine="0" w:firstLineChars="0"/>
              <w:jc w:val="left"/>
              <w:rPr>
                <w:sz w:val="18"/>
                <w:szCs w:val="18"/>
              </w:rPr>
            </w:pPr>
            <w:r>
              <w:rPr>
                <w:sz w:val="18"/>
                <w:szCs w:val="18"/>
                <w:lang w:bidi="ar"/>
              </w:rPr>
              <w:t>Primary Algorithm Criterion: Imipenem- or Meropenem-R Plus Ceftazidime-NS Plus Cefepime-NS</w:t>
            </w:r>
          </w:p>
        </w:tc>
        <w:tc>
          <w:tcPr>
            <w:tcW w:w="2007" w:type="dxa"/>
            <w:tcBorders>
              <w:top w:val="nil"/>
              <w:left w:val="nil"/>
              <w:bottom w:val="nil"/>
              <w:right w:val="nil"/>
            </w:tcBorders>
            <w:shd w:val="clear" w:color="auto" w:fill="FFFFFF" w:themeFill="background1"/>
            <w:vAlign w:val="top"/>
          </w:tcPr>
          <w:p w14:paraId="19845D0A">
            <w:pPr>
              <w:snapToGrid w:val="0"/>
              <w:spacing w:before="0" w:beforeLines="0" w:after="0" w:afterLines="0"/>
              <w:ind w:left="0" w:leftChars="0" w:right="0" w:rightChars="0" w:firstLine="0" w:firstLineChars="0"/>
              <w:jc w:val="left"/>
              <w:rPr>
                <w:sz w:val="18"/>
                <w:szCs w:val="18"/>
              </w:rPr>
            </w:pPr>
            <w:r>
              <w:rPr>
                <w:sz w:val="18"/>
                <w:szCs w:val="18"/>
                <w:lang w:bidi="ar"/>
              </w:rPr>
              <w:t>PCR or whole-genome sequencing</w:t>
            </w:r>
          </w:p>
        </w:tc>
        <w:tc>
          <w:tcPr>
            <w:tcW w:w="1164" w:type="dxa"/>
            <w:tcBorders>
              <w:top w:val="nil"/>
              <w:left w:val="nil"/>
              <w:bottom w:val="nil"/>
              <w:right w:val="nil"/>
            </w:tcBorders>
            <w:shd w:val="clear" w:color="auto" w:fill="FFFFFF" w:themeFill="background1"/>
            <w:noWrap/>
            <w:vAlign w:val="top"/>
          </w:tcPr>
          <w:p w14:paraId="05F20481">
            <w:pPr>
              <w:snapToGrid w:val="0"/>
              <w:spacing w:before="0" w:beforeLines="0" w:after="0" w:afterLines="0"/>
              <w:ind w:left="0" w:leftChars="0" w:right="0" w:rightChars="0" w:firstLine="0" w:firstLineChars="0"/>
              <w:jc w:val="center"/>
              <w:rPr>
                <w:sz w:val="18"/>
                <w:szCs w:val="18"/>
              </w:rPr>
            </w:pPr>
            <w:r>
              <w:rPr>
                <w:sz w:val="18"/>
                <w:szCs w:val="18"/>
                <w:lang w:bidi="ar"/>
              </w:rPr>
              <w:t>Specificity</w:t>
            </w:r>
          </w:p>
        </w:tc>
        <w:tc>
          <w:tcPr>
            <w:tcW w:w="940" w:type="dxa"/>
            <w:tcBorders>
              <w:top w:val="nil"/>
              <w:left w:val="nil"/>
              <w:bottom w:val="nil"/>
              <w:right w:val="nil"/>
            </w:tcBorders>
            <w:shd w:val="clear" w:color="auto" w:fill="FFFFFF" w:themeFill="background1"/>
            <w:noWrap/>
            <w:vAlign w:val="top"/>
          </w:tcPr>
          <w:p w14:paraId="30A3815C">
            <w:pPr>
              <w:snapToGrid w:val="0"/>
              <w:spacing w:before="0" w:beforeLines="0" w:after="0" w:afterLines="0"/>
              <w:ind w:left="0" w:leftChars="0" w:right="0" w:rightChars="0" w:firstLine="0" w:firstLineChars="0"/>
              <w:jc w:val="center"/>
              <w:rPr>
                <w:sz w:val="18"/>
                <w:szCs w:val="18"/>
              </w:rPr>
            </w:pPr>
            <w:r>
              <w:rPr>
                <w:sz w:val="18"/>
                <w:szCs w:val="18"/>
                <w:lang w:bidi="ar"/>
              </w:rPr>
              <w:t>56.0%</w:t>
            </w:r>
          </w:p>
        </w:tc>
      </w:tr>
      <w:tr w14:paraId="3EB1FA04">
        <w:tblPrEx>
          <w:shd w:val="clear" w:color="auto" w:fill="FFFFFF" w:themeFill="background1"/>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0D541EDC">
            <w:pPr>
              <w:snapToGrid w:val="0"/>
              <w:spacing w:before="0" w:beforeLines="0" w:after="0" w:afterLines="0"/>
              <w:ind w:left="0" w:leftChars="0" w:right="0" w:rightChars="0" w:firstLine="0" w:firstLineChars="0"/>
              <w:jc w:val="left"/>
              <w:rPr>
                <w:sz w:val="18"/>
                <w:szCs w:val="18"/>
              </w:rPr>
            </w:pPr>
            <w:r>
              <w:rPr>
                <w:sz w:val="18"/>
                <w:szCs w:val="18"/>
                <w:lang w:bidi="ar"/>
              </w:rPr>
              <w:t>Akhi 2016</w:t>
            </w:r>
          </w:p>
        </w:tc>
        <w:tc>
          <w:tcPr>
            <w:tcW w:w="1902" w:type="dxa"/>
            <w:tcBorders>
              <w:top w:val="nil"/>
              <w:left w:val="nil"/>
              <w:bottom w:val="nil"/>
              <w:right w:val="nil"/>
            </w:tcBorders>
            <w:shd w:val="clear" w:color="auto" w:fill="FFFFFF" w:themeFill="background1"/>
            <w:noWrap/>
            <w:vAlign w:val="top"/>
          </w:tcPr>
          <w:p w14:paraId="6F309EE2">
            <w:pPr>
              <w:snapToGrid w:val="0"/>
              <w:spacing w:before="0" w:beforeLines="0" w:after="0" w:afterLines="0"/>
              <w:ind w:left="0" w:leftChars="0" w:right="0" w:rightChars="0" w:firstLine="0" w:firstLineChars="0"/>
              <w:jc w:val="left"/>
              <w:rPr>
                <w:sz w:val="18"/>
                <w:szCs w:val="18"/>
              </w:rPr>
            </w:pPr>
            <w:r>
              <w:rPr>
                <w:sz w:val="18"/>
                <w:szCs w:val="18"/>
                <w:lang w:bidi="ar"/>
              </w:rPr>
              <w:t>CRPA</w:t>
            </w:r>
          </w:p>
        </w:tc>
        <w:tc>
          <w:tcPr>
            <w:tcW w:w="1373" w:type="dxa"/>
            <w:tcBorders>
              <w:top w:val="nil"/>
              <w:left w:val="nil"/>
              <w:bottom w:val="nil"/>
              <w:right w:val="nil"/>
            </w:tcBorders>
            <w:shd w:val="clear" w:color="auto" w:fill="FFFFFF" w:themeFill="background1"/>
            <w:noWrap/>
            <w:vAlign w:val="top"/>
          </w:tcPr>
          <w:p w14:paraId="374C3073">
            <w:pPr>
              <w:snapToGrid w:val="0"/>
              <w:spacing w:before="0" w:beforeLines="0" w:after="0" w:afterLines="0"/>
              <w:ind w:left="0" w:leftChars="0" w:right="0" w:rightChars="0" w:firstLine="0" w:firstLineChars="0"/>
              <w:jc w:val="center"/>
              <w:rPr>
                <w:sz w:val="18"/>
                <w:szCs w:val="18"/>
              </w:rPr>
            </w:pPr>
            <w:r>
              <w:rPr>
                <w:sz w:val="18"/>
                <w:szCs w:val="18"/>
                <w:lang w:bidi="ar"/>
              </w:rPr>
              <w:t>121</w:t>
            </w:r>
          </w:p>
        </w:tc>
        <w:tc>
          <w:tcPr>
            <w:tcW w:w="2409" w:type="dxa"/>
            <w:tcBorders>
              <w:top w:val="nil"/>
              <w:left w:val="nil"/>
              <w:bottom w:val="nil"/>
              <w:right w:val="nil"/>
            </w:tcBorders>
            <w:shd w:val="clear" w:color="auto" w:fill="FFFFFF" w:themeFill="background1"/>
            <w:noWrap/>
            <w:vAlign w:val="top"/>
          </w:tcPr>
          <w:p w14:paraId="00EB786F">
            <w:pPr>
              <w:snapToGrid w:val="0"/>
              <w:spacing w:before="0" w:beforeLines="0" w:after="0" w:afterLines="0"/>
              <w:ind w:left="0" w:leftChars="0" w:right="0" w:rightChars="0" w:firstLine="0" w:firstLineChars="0"/>
              <w:jc w:val="left"/>
              <w:rPr>
                <w:sz w:val="18"/>
                <w:szCs w:val="18"/>
              </w:rPr>
            </w:pPr>
            <w:r>
              <w:rPr>
                <w:sz w:val="18"/>
                <w:szCs w:val="18"/>
                <w:lang w:bidi="ar"/>
              </w:rPr>
              <w:t>Carbapenemase</w:t>
            </w:r>
          </w:p>
        </w:tc>
        <w:tc>
          <w:tcPr>
            <w:tcW w:w="3239" w:type="dxa"/>
            <w:tcBorders>
              <w:top w:val="nil"/>
              <w:left w:val="nil"/>
              <w:bottom w:val="nil"/>
              <w:right w:val="nil"/>
            </w:tcBorders>
            <w:shd w:val="clear" w:color="auto" w:fill="FFFFFF" w:themeFill="background1"/>
            <w:vAlign w:val="top"/>
          </w:tcPr>
          <w:p w14:paraId="6477E6D4">
            <w:pPr>
              <w:snapToGrid w:val="0"/>
              <w:spacing w:before="0" w:beforeLines="0" w:after="0" w:afterLines="0"/>
              <w:ind w:left="0" w:leftChars="0" w:right="0" w:rightChars="0" w:firstLine="0" w:firstLineChars="0"/>
              <w:jc w:val="left"/>
              <w:rPr>
                <w:sz w:val="18"/>
                <w:szCs w:val="18"/>
              </w:rPr>
            </w:pPr>
            <w:r>
              <w:rPr>
                <w:sz w:val="18"/>
                <w:szCs w:val="18"/>
                <w:lang w:bidi="ar"/>
              </w:rPr>
              <w:t xml:space="preserve">Carbapenem Inactivation </w:t>
            </w:r>
            <w:r>
              <w:rPr>
                <w:sz w:val="18"/>
                <w:szCs w:val="18"/>
                <w:lang w:bidi="ar"/>
              </w:rPr>
              <w:br w:type="textWrapping"/>
            </w:r>
            <w:r>
              <w:rPr>
                <w:sz w:val="18"/>
                <w:szCs w:val="18"/>
                <w:lang w:bidi="ar"/>
              </w:rPr>
              <w:t>Method (CIM)</w:t>
            </w:r>
          </w:p>
        </w:tc>
        <w:tc>
          <w:tcPr>
            <w:tcW w:w="2007" w:type="dxa"/>
            <w:tcBorders>
              <w:top w:val="nil"/>
              <w:left w:val="nil"/>
              <w:bottom w:val="nil"/>
              <w:right w:val="nil"/>
            </w:tcBorders>
            <w:shd w:val="clear" w:color="auto" w:fill="FFFFFF" w:themeFill="background1"/>
            <w:vAlign w:val="top"/>
          </w:tcPr>
          <w:p w14:paraId="66DF4F2C">
            <w:pPr>
              <w:snapToGrid w:val="0"/>
              <w:spacing w:before="0" w:beforeLines="0" w:after="0" w:afterLines="0"/>
              <w:ind w:left="0" w:leftChars="0" w:right="0" w:rightChars="0" w:firstLine="0" w:firstLineChars="0"/>
              <w:jc w:val="left"/>
              <w:rPr>
                <w:sz w:val="18"/>
                <w:szCs w:val="18"/>
              </w:rPr>
            </w:pPr>
            <w:r>
              <w:rPr>
                <w:sz w:val="18"/>
                <w:szCs w:val="18"/>
                <w:lang w:bidi="ar"/>
              </w:rPr>
              <w:t>PCR</w:t>
            </w:r>
          </w:p>
        </w:tc>
        <w:tc>
          <w:tcPr>
            <w:tcW w:w="1164" w:type="dxa"/>
            <w:tcBorders>
              <w:top w:val="nil"/>
              <w:left w:val="nil"/>
              <w:bottom w:val="nil"/>
              <w:right w:val="nil"/>
            </w:tcBorders>
            <w:shd w:val="clear" w:color="auto" w:fill="FFFFFF" w:themeFill="background1"/>
            <w:noWrap/>
            <w:vAlign w:val="top"/>
          </w:tcPr>
          <w:p w14:paraId="1FED2F77">
            <w:pPr>
              <w:snapToGrid w:val="0"/>
              <w:spacing w:before="0" w:beforeLines="0" w:after="0" w:afterLines="0"/>
              <w:ind w:left="0" w:leftChars="0" w:right="0" w:rightChars="0" w:firstLine="0" w:firstLineChars="0"/>
              <w:jc w:val="center"/>
              <w:rPr>
                <w:sz w:val="18"/>
                <w:szCs w:val="18"/>
              </w:rPr>
            </w:pPr>
            <w:r>
              <w:rPr>
                <w:sz w:val="18"/>
                <w:szCs w:val="18"/>
                <w:lang w:bidi="ar"/>
              </w:rPr>
              <w:t>Sensitivity</w:t>
            </w:r>
          </w:p>
        </w:tc>
        <w:tc>
          <w:tcPr>
            <w:tcW w:w="940" w:type="dxa"/>
            <w:tcBorders>
              <w:top w:val="nil"/>
              <w:left w:val="nil"/>
              <w:bottom w:val="nil"/>
              <w:right w:val="nil"/>
            </w:tcBorders>
            <w:shd w:val="clear" w:color="auto" w:fill="FFFFFF" w:themeFill="background1"/>
            <w:noWrap/>
            <w:vAlign w:val="top"/>
          </w:tcPr>
          <w:p w14:paraId="6942B1F5">
            <w:pPr>
              <w:snapToGrid w:val="0"/>
              <w:spacing w:before="0" w:beforeLines="0" w:after="0" w:afterLines="0"/>
              <w:ind w:left="0" w:leftChars="0" w:right="0" w:rightChars="0" w:firstLine="0" w:firstLineChars="0"/>
              <w:jc w:val="center"/>
              <w:rPr>
                <w:sz w:val="18"/>
                <w:szCs w:val="18"/>
              </w:rPr>
            </w:pPr>
            <w:r>
              <w:rPr>
                <w:sz w:val="18"/>
                <w:szCs w:val="18"/>
                <w:lang w:bidi="ar"/>
              </w:rPr>
              <w:t>97.7%</w:t>
            </w:r>
          </w:p>
        </w:tc>
      </w:tr>
      <w:tr w14:paraId="52401634">
        <w:tblPrEx>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4CD14883">
            <w:pPr>
              <w:snapToGrid w:val="0"/>
              <w:spacing w:before="0" w:beforeLines="0" w:after="0" w:afterLines="0"/>
              <w:ind w:left="0" w:leftChars="0" w:right="0" w:rightChars="0" w:firstLine="0" w:firstLineChars="0"/>
              <w:jc w:val="left"/>
              <w:rPr>
                <w:sz w:val="18"/>
                <w:szCs w:val="18"/>
              </w:rPr>
            </w:pPr>
            <w:r>
              <w:rPr>
                <w:sz w:val="18"/>
                <w:szCs w:val="18"/>
                <w:lang w:bidi="ar"/>
              </w:rPr>
              <w:t>Akhi 2016</w:t>
            </w:r>
          </w:p>
        </w:tc>
        <w:tc>
          <w:tcPr>
            <w:tcW w:w="1902" w:type="dxa"/>
            <w:tcBorders>
              <w:top w:val="nil"/>
              <w:left w:val="nil"/>
              <w:bottom w:val="nil"/>
              <w:right w:val="nil"/>
            </w:tcBorders>
            <w:shd w:val="clear" w:color="auto" w:fill="FFFFFF" w:themeFill="background1"/>
            <w:noWrap/>
            <w:vAlign w:val="top"/>
          </w:tcPr>
          <w:p w14:paraId="13D7BA5C">
            <w:pPr>
              <w:snapToGrid w:val="0"/>
              <w:spacing w:before="0" w:beforeLines="0" w:after="0" w:afterLines="0"/>
              <w:ind w:left="0" w:leftChars="0" w:right="0" w:rightChars="0" w:firstLine="0" w:firstLineChars="0"/>
              <w:jc w:val="left"/>
              <w:rPr>
                <w:sz w:val="18"/>
                <w:szCs w:val="18"/>
              </w:rPr>
            </w:pPr>
            <w:r>
              <w:rPr>
                <w:sz w:val="18"/>
                <w:szCs w:val="18"/>
                <w:lang w:bidi="ar"/>
              </w:rPr>
              <w:t>CRPA</w:t>
            </w:r>
          </w:p>
        </w:tc>
        <w:tc>
          <w:tcPr>
            <w:tcW w:w="1373" w:type="dxa"/>
            <w:tcBorders>
              <w:top w:val="nil"/>
              <w:left w:val="nil"/>
              <w:bottom w:val="nil"/>
              <w:right w:val="nil"/>
            </w:tcBorders>
            <w:shd w:val="clear" w:color="auto" w:fill="FFFFFF" w:themeFill="background1"/>
            <w:noWrap/>
            <w:vAlign w:val="top"/>
          </w:tcPr>
          <w:p w14:paraId="56151D0F">
            <w:pPr>
              <w:snapToGrid w:val="0"/>
              <w:spacing w:before="0" w:beforeLines="0" w:after="0" w:afterLines="0"/>
              <w:ind w:left="0" w:leftChars="0" w:right="0" w:rightChars="0" w:firstLine="0" w:firstLineChars="0"/>
              <w:jc w:val="center"/>
              <w:rPr>
                <w:sz w:val="18"/>
                <w:szCs w:val="18"/>
              </w:rPr>
            </w:pPr>
            <w:r>
              <w:rPr>
                <w:sz w:val="18"/>
                <w:szCs w:val="18"/>
                <w:lang w:bidi="ar"/>
              </w:rPr>
              <w:t>121</w:t>
            </w:r>
          </w:p>
        </w:tc>
        <w:tc>
          <w:tcPr>
            <w:tcW w:w="2409" w:type="dxa"/>
            <w:tcBorders>
              <w:top w:val="nil"/>
              <w:left w:val="nil"/>
              <w:bottom w:val="nil"/>
              <w:right w:val="nil"/>
            </w:tcBorders>
            <w:shd w:val="clear" w:color="auto" w:fill="FFFFFF" w:themeFill="background1"/>
            <w:noWrap/>
            <w:vAlign w:val="top"/>
          </w:tcPr>
          <w:p w14:paraId="0308A6CA">
            <w:pPr>
              <w:snapToGrid w:val="0"/>
              <w:spacing w:before="0" w:beforeLines="0" w:after="0" w:afterLines="0"/>
              <w:ind w:left="0" w:leftChars="0" w:right="0" w:rightChars="0" w:firstLine="0" w:firstLineChars="0"/>
              <w:jc w:val="left"/>
              <w:rPr>
                <w:sz w:val="18"/>
                <w:szCs w:val="18"/>
              </w:rPr>
            </w:pPr>
            <w:r>
              <w:rPr>
                <w:sz w:val="18"/>
                <w:szCs w:val="18"/>
                <w:lang w:bidi="ar"/>
              </w:rPr>
              <w:t>Carbapenemase</w:t>
            </w:r>
          </w:p>
        </w:tc>
        <w:tc>
          <w:tcPr>
            <w:tcW w:w="3239" w:type="dxa"/>
            <w:tcBorders>
              <w:top w:val="nil"/>
              <w:left w:val="nil"/>
              <w:bottom w:val="nil"/>
              <w:right w:val="nil"/>
            </w:tcBorders>
            <w:shd w:val="clear" w:color="auto" w:fill="FFFFFF" w:themeFill="background1"/>
            <w:vAlign w:val="top"/>
          </w:tcPr>
          <w:p w14:paraId="7DF33ACB">
            <w:pPr>
              <w:snapToGrid w:val="0"/>
              <w:spacing w:before="0" w:beforeLines="0" w:after="0" w:afterLines="0"/>
              <w:ind w:left="0" w:leftChars="0" w:right="0" w:rightChars="0" w:firstLine="0" w:firstLineChars="0"/>
              <w:jc w:val="left"/>
              <w:rPr>
                <w:sz w:val="18"/>
                <w:szCs w:val="18"/>
              </w:rPr>
            </w:pPr>
            <w:r>
              <w:rPr>
                <w:sz w:val="18"/>
                <w:szCs w:val="18"/>
                <w:lang w:bidi="ar"/>
              </w:rPr>
              <w:t xml:space="preserve">Carbapenem Inactivation </w:t>
            </w:r>
            <w:r>
              <w:rPr>
                <w:sz w:val="18"/>
                <w:szCs w:val="18"/>
                <w:lang w:bidi="ar"/>
              </w:rPr>
              <w:br w:type="textWrapping"/>
            </w:r>
            <w:r>
              <w:rPr>
                <w:sz w:val="18"/>
                <w:szCs w:val="18"/>
                <w:lang w:bidi="ar"/>
              </w:rPr>
              <w:t>Method (CIM)</w:t>
            </w:r>
          </w:p>
        </w:tc>
        <w:tc>
          <w:tcPr>
            <w:tcW w:w="2007" w:type="dxa"/>
            <w:tcBorders>
              <w:top w:val="nil"/>
              <w:left w:val="nil"/>
              <w:bottom w:val="nil"/>
              <w:right w:val="nil"/>
            </w:tcBorders>
            <w:shd w:val="clear" w:color="auto" w:fill="FFFFFF" w:themeFill="background1"/>
            <w:vAlign w:val="top"/>
          </w:tcPr>
          <w:p w14:paraId="77236C6A">
            <w:pPr>
              <w:snapToGrid w:val="0"/>
              <w:spacing w:before="0" w:beforeLines="0" w:after="0" w:afterLines="0"/>
              <w:ind w:left="0" w:leftChars="0" w:right="0" w:rightChars="0" w:firstLine="0" w:firstLineChars="0"/>
              <w:jc w:val="left"/>
              <w:rPr>
                <w:sz w:val="18"/>
                <w:szCs w:val="18"/>
              </w:rPr>
            </w:pPr>
            <w:r>
              <w:rPr>
                <w:sz w:val="18"/>
                <w:szCs w:val="18"/>
                <w:lang w:bidi="ar"/>
              </w:rPr>
              <w:t>PCR</w:t>
            </w:r>
          </w:p>
        </w:tc>
        <w:tc>
          <w:tcPr>
            <w:tcW w:w="1164" w:type="dxa"/>
            <w:tcBorders>
              <w:top w:val="nil"/>
              <w:left w:val="nil"/>
              <w:bottom w:val="nil"/>
              <w:right w:val="nil"/>
            </w:tcBorders>
            <w:shd w:val="clear" w:color="auto" w:fill="FFFFFF" w:themeFill="background1"/>
            <w:noWrap/>
            <w:vAlign w:val="top"/>
          </w:tcPr>
          <w:p w14:paraId="25031A37">
            <w:pPr>
              <w:snapToGrid w:val="0"/>
              <w:spacing w:before="0" w:beforeLines="0" w:after="0" w:afterLines="0"/>
              <w:ind w:left="0" w:leftChars="0" w:right="0" w:rightChars="0" w:firstLine="0" w:firstLineChars="0"/>
              <w:jc w:val="center"/>
              <w:rPr>
                <w:sz w:val="18"/>
                <w:szCs w:val="18"/>
              </w:rPr>
            </w:pPr>
            <w:r>
              <w:rPr>
                <w:sz w:val="18"/>
                <w:szCs w:val="18"/>
                <w:lang w:bidi="ar"/>
              </w:rPr>
              <w:t>Specificity</w:t>
            </w:r>
          </w:p>
        </w:tc>
        <w:tc>
          <w:tcPr>
            <w:tcW w:w="940" w:type="dxa"/>
            <w:tcBorders>
              <w:top w:val="nil"/>
              <w:left w:val="nil"/>
              <w:bottom w:val="nil"/>
              <w:right w:val="nil"/>
            </w:tcBorders>
            <w:shd w:val="clear" w:color="auto" w:fill="FFFFFF" w:themeFill="background1"/>
            <w:noWrap/>
            <w:vAlign w:val="top"/>
          </w:tcPr>
          <w:p w14:paraId="031185A1">
            <w:pPr>
              <w:snapToGrid w:val="0"/>
              <w:spacing w:before="0" w:beforeLines="0" w:after="0" w:afterLines="0"/>
              <w:ind w:left="0" w:leftChars="0" w:right="0" w:rightChars="0" w:firstLine="0" w:firstLineChars="0"/>
              <w:jc w:val="center"/>
              <w:rPr>
                <w:sz w:val="18"/>
                <w:szCs w:val="18"/>
              </w:rPr>
            </w:pPr>
            <w:r>
              <w:rPr>
                <w:sz w:val="18"/>
                <w:szCs w:val="18"/>
                <w:lang w:bidi="ar"/>
              </w:rPr>
              <w:t>98.8%</w:t>
            </w:r>
          </w:p>
        </w:tc>
      </w:tr>
      <w:tr w14:paraId="26491F61">
        <w:tblPrEx>
          <w:shd w:val="clear" w:color="auto" w:fill="FFFFFF" w:themeFill="background1"/>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7FA0A2E1">
            <w:pPr>
              <w:snapToGrid w:val="0"/>
              <w:spacing w:before="0" w:beforeLines="0" w:after="0" w:afterLines="0"/>
              <w:ind w:left="0" w:leftChars="0" w:right="0" w:rightChars="0" w:firstLine="0" w:firstLineChars="0"/>
              <w:jc w:val="left"/>
              <w:rPr>
                <w:sz w:val="18"/>
                <w:szCs w:val="18"/>
              </w:rPr>
            </w:pPr>
            <w:r>
              <w:rPr>
                <w:sz w:val="18"/>
                <w:szCs w:val="18"/>
                <w:lang w:bidi="ar"/>
              </w:rPr>
              <w:t>Samuelsen 2008</w:t>
            </w:r>
          </w:p>
        </w:tc>
        <w:tc>
          <w:tcPr>
            <w:tcW w:w="1902" w:type="dxa"/>
            <w:tcBorders>
              <w:top w:val="nil"/>
              <w:left w:val="nil"/>
              <w:bottom w:val="nil"/>
              <w:right w:val="nil"/>
            </w:tcBorders>
            <w:shd w:val="clear" w:color="auto" w:fill="FFFFFF" w:themeFill="background1"/>
            <w:noWrap/>
            <w:vAlign w:val="top"/>
          </w:tcPr>
          <w:p w14:paraId="50958859">
            <w:pPr>
              <w:snapToGrid w:val="0"/>
              <w:spacing w:before="0" w:beforeLines="0" w:after="0" w:afterLines="0"/>
              <w:ind w:left="0" w:leftChars="0" w:right="0" w:rightChars="0" w:firstLine="0" w:firstLineChars="0"/>
              <w:jc w:val="left"/>
              <w:rPr>
                <w:sz w:val="18"/>
                <w:szCs w:val="18"/>
              </w:rPr>
            </w:pPr>
            <w:r>
              <w:rPr>
                <w:sz w:val="18"/>
                <w:szCs w:val="18"/>
                <w:lang w:bidi="ar"/>
              </w:rPr>
              <w:t xml:space="preserve">IRPA and/or IMPA </w:t>
            </w:r>
          </w:p>
        </w:tc>
        <w:tc>
          <w:tcPr>
            <w:tcW w:w="1373" w:type="dxa"/>
            <w:tcBorders>
              <w:top w:val="nil"/>
              <w:left w:val="nil"/>
              <w:bottom w:val="nil"/>
              <w:right w:val="nil"/>
            </w:tcBorders>
            <w:shd w:val="clear" w:color="auto" w:fill="FFFFFF" w:themeFill="background1"/>
            <w:noWrap/>
            <w:vAlign w:val="top"/>
          </w:tcPr>
          <w:p w14:paraId="139CACDB">
            <w:pPr>
              <w:snapToGrid w:val="0"/>
              <w:spacing w:before="0" w:beforeLines="0" w:after="0" w:afterLines="0"/>
              <w:ind w:left="0" w:leftChars="0" w:right="0" w:rightChars="0" w:firstLine="0" w:firstLineChars="0"/>
              <w:jc w:val="center"/>
              <w:rPr>
                <w:sz w:val="18"/>
                <w:szCs w:val="18"/>
              </w:rPr>
            </w:pPr>
            <w:r>
              <w:rPr>
                <w:sz w:val="18"/>
                <w:szCs w:val="18"/>
                <w:lang w:bidi="ar"/>
              </w:rPr>
              <w:t>138</w:t>
            </w:r>
          </w:p>
        </w:tc>
        <w:tc>
          <w:tcPr>
            <w:tcW w:w="2409" w:type="dxa"/>
            <w:tcBorders>
              <w:top w:val="nil"/>
              <w:left w:val="nil"/>
              <w:bottom w:val="nil"/>
              <w:right w:val="nil"/>
            </w:tcBorders>
            <w:shd w:val="clear" w:color="auto" w:fill="FFFFFF" w:themeFill="background1"/>
            <w:noWrap/>
            <w:vAlign w:val="top"/>
          </w:tcPr>
          <w:p w14:paraId="7C9FFDF5">
            <w:pPr>
              <w:snapToGrid w:val="0"/>
              <w:spacing w:before="0" w:beforeLines="0" w:after="0" w:afterLines="0"/>
              <w:ind w:left="0" w:leftChars="0" w:right="0" w:rightChars="0" w:firstLine="0" w:firstLineChars="0"/>
              <w:jc w:val="left"/>
              <w:rPr>
                <w:sz w:val="18"/>
                <w:szCs w:val="18"/>
              </w:rPr>
            </w:pPr>
            <w:r>
              <w:rPr>
                <w:sz w:val="18"/>
                <w:szCs w:val="18"/>
                <w:lang w:bidi="ar"/>
              </w:rPr>
              <w:t>MBL (metallo-β-lactamases): [VIM-1, VIM-2, VIM-7, IMP-16, GIM-1 and SPM-1]</w:t>
            </w:r>
          </w:p>
        </w:tc>
        <w:tc>
          <w:tcPr>
            <w:tcW w:w="3239" w:type="dxa"/>
            <w:tcBorders>
              <w:top w:val="nil"/>
              <w:left w:val="nil"/>
              <w:bottom w:val="nil"/>
              <w:right w:val="nil"/>
            </w:tcBorders>
            <w:shd w:val="clear" w:color="auto" w:fill="FFFFFF" w:themeFill="background1"/>
            <w:vAlign w:val="top"/>
          </w:tcPr>
          <w:p w14:paraId="20DEAD3F">
            <w:pPr>
              <w:snapToGrid w:val="0"/>
              <w:spacing w:before="0" w:beforeLines="0" w:after="0" w:afterLines="0"/>
              <w:ind w:left="0" w:leftChars="0" w:right="0" w:rightChars="0" w:firstLine="0" w:firstLineChars="0"/>
              <w:jc w:val="left"/>
              <w:rPr>
                <w:sz w:val="18"/>
                <w:szCs w:val="18"/>
              </w:rPr>
            </w:pPr>
            <w:r>
              <w:rPr>
                <w:sz w:val="18"/>
                <w:szCs w:val="18"/>
                <w:lang w:bidi="ar"/>
              </w:rPr>
              <w:t>Combined imipenem discs supplemented with EDTA (IPM-EDTA)</w:t>
            </w:r>
          </w:p>
        </w:tc>
        <w:tc>
          <w:tcPr>
            <w:tcW w:w="2007" w:type="dxa"/>
            <w:tcBorders>
              <w:top w:val="nil"/>
              <w:left w:val="nil"/>
              <w:bottom w:val="nil"/>
              <w:right w:val="nil"/>
            </w:tcBorders>
            <w:shd w:val="clear" w:color="auto" w:fill="FFFFFF" w:themeFill="background1"/>
            <w:vAlign w:val="top"/>
          </w:tcPr>
          <w:p w14:paraId="19A90C80">
            <w:pPr>
              <w:snapToGrid w:val="0"/>
              <w:spacing w:before="0" w:beforeLines="0" w:after="0" w:afterLines="0"/>
              <w:ind w:left="0" w:leftChars="0" w:right="0" w:rightChars="0" w:firstLine="0" w:firstLineChars="0"/>
              <w:jc w:val="left"/>
              <w:rPr>
                <w:sz w:val="18"/>
                <w:szCs w:val="18"/>
              </w:rPr>
            </w:pPr>
            <w:r>
              <w:rPr>
                <w:sz w:val="18"/>
                <w:szCs w:val="18"/>
                <w:lang w:bidi="ar"/>
              </w:rPr>
              <w:t>PCR and DNA sequence analysis</w:t>
            </w:r>
          </w:p>
        </w:tc>
        <w:tc>
          <w:tcPr>
            <w:tcW w:w="1164" w:type="dxa"/>
            <w:tcBorders>
              <w:top w:val="nil"/>
              <w:left w:val="nil"/>
              <w:bottom w:val="nil"/>
              <w:right w:val="nil"/>
            </w:tcBorders>
            <w:shd w:val="clear" w:color="auto" w:fill="FFFFFF" w:themeFill="background1"/>
            <w:noWrap/>
            <w:vAlign w:val="top"/>
          </w:tcPr>
          <w:p w14:paraId="05515056">
            <w:pPr>
              <w:snapToGrid w:val="0"/>
              <w:spacing w:before="0" w:beforeLines="0" w:after="0" w:afterLines="0"/>
              <w:ind w:left="0" w:leftChars="0" w:right="0" w:rightChars="0" w:firstLine="0" w:firstLineChars="0"/>
              <w:jc w:val="center"/>
              <w:rPr>
                <w:sz w:val="18"/>
                <w:szCs w:val="18"/>
              </w:rPr>
            </w:pPr>
            <w:r>
              <w:rPr>
                <w:sz w:val="18"/>
                <w:szCs w:val="18"/>
                <w:lang w:bidi="ar"/>
              </w:rPr>
              <w:t>Sensitivity</w:t>
            </w:r>
          </w:p>
        </w:tc>
        <w:tc>
          <w:tcPr>
            <w:tcW w:w="940" w:type="dxa"/>
            <w:tcBorders>
              <w:top w:val="nil"/>
              <w:left w:val="nil"/>
              <w:bottom w:val="nil"/>
              <w:right w:val="nil"/>
            </w:tcBorders>
            <w:shd w:val="clear" w:color="auto" w:fill="FFFFFF" w:themeFill="background1"/>
            <w:noWrap/>
            <w:vAlign w:val="top"/>
          </w:tcPr>
          <w:p w14:paraId="1B83B1CF">
            <w:pPr>
              <w:snapToGrid w:val="0"/>
              <w:spacing w:before="0" w:beforeLines="0" w:after="0" w:afterLines="0"/>
              <w:ind w:left="0" w:leftChars="0" w:right="0" w:rightChars="0" w:firstLine="0" w:firstLineChars="0"/>
              <w:jc w:val="center"/>
              <w:rPr>
                <w:sz w:val="18"/>
                <w:szCs w:val="18"/>
              </w:rPr>
            </w:pPr>
            <w:r>
              <w:rPr>
                <w:sz w:val="18"/>
                <w:szCs w:val="18"/>
                <w:lang w:bidi="ar"/>
              </w:rPr>
              <w:t>100.0%</w:t>
            </w:r>
          </w:p>
        </w:tc>
      </w:tr>
      <w:tr w14:paraId="4BD5A916">
        <w:tblPrEx>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5E458329">
            <w:pPr>
              <w:snapToGrid w:val="0"/>
              <w:spacing w:before="0" w:beforeLines="0" w:after="0" w:afterLines="0"/>
              <w:ind w:left="0" w:leftChars="0" w:right="0" w:rightChars="0" w:firstLine="0" w:firstLineChars="0"/>
              <w:jc w:val="left"/>
              <w:rPr>
                <w:sz w:val="18"/>
                <w:szCs w:val="18"/>
              </w:rPr>
            </w:pPr>
            <w:r>
              <w:rPr>
                <w:sz w:val="18"/>
                <w:szCs w:val="18"/>
                <w:lang w:bidi="ar"/>
              </w:rPr>
              <w:t>Samuelsen 2008</w:t>
            </w:r>
          </w:p>
        </w:tc>
        <w:tc>
          <w:tcPr>
            <w:tcW w:w="1902" w:type="dxa"/>
            <w:tcBorders>
              <w:top w:val="nil"/>
              <w:left w:val="nil"/>
              <w:bottom w:val="nil"/>
              <w:right w:val="nil"/>
            </w:tcBorders>
            <w:shd w:val="clear" w:color="auto" w:fill="FFFFFF" w:themeFill="background1"/>
            <w:noWrap/>
            <w:vAlign w:val="top"/>
          </w:tcPr>
          <w:p w14:paraId="2BC59B34">
            <w:pPr>
              <w:snapToGrid w:val="0"/>
              <w:spacing w:before="0" w:beforeLines="0" w:after="0" w:afterLines="0"/>
              <w:ind w:left="0" w:leftChars="0" w:right="0" w:rightChars="0" w:firstLine="0" w:firstLineChars="0"/>
              <w:jc w:val="left"/>
              <w:rPr>
                <w:sz w:val="18"/>
                <w:szCs w:val="18"/>
              </w:rPr>
            </w:pPr>
            <w:r>
              <w:rPr>
                <w:sz w:val="18"/>
                <w:szCs w:val="18"/>
                <w:lang w:bidi="ar"/>
              </w:rPr>
              <w:t xml:space="preserve">IRPA and/or IMPA </w:t>
            </w:r>
          </w:p>
        </w:tc>
        <w:tc>
          <w:tcPr>
            <w:tcW w:w="1373" w:type="dxa"/>
            <w:tcBorders>
              <w:top w:val="nil"/>
              <w:left w:val="nil"/>
              <w:bottom w:val="nil"/>
              <w:right w:val="nil"/>
            </w:tcBorders>
            <w:shd w:val="clear" w:color="auto" w:fill="FFFFFF" w:themeFill="background1"/>
            <w:noWrap/>
            <w:vAlign w:val="top"/>
          </w:tcPr>
          <w:p w14:paraId="56DFF587">
            <w:pPr>
              <w:snapToGrid w:val="0"/>
              <w:spacing w:before="0" w:beforeLines="0" w:after="0" w:afterLines="0"/>
              <w:ind w:left="0" w:leftChars="0" w:right="0" w:rightChars="0" w:firstLine="0" w:firstLineChars="0"/>
              <w:jc w:val="center"/>
              <w:rPr>
                <w:sz w:val="18"/>
                <w:szCs w:val="18"/>
              </w:rPr>
            </w:pPr>
            <w:r>
              <w:rPr>
                <w:sz w:val="18"/>
                <w:szCs w:val="18"/>
                <w:lang w:bidi="ar"/>
              </w:rPr>
              <w:t>138</w:t>
            </w:r>
          </w:p>
        </w:tc>
        <w:tc>
          <w:tcPr>
            <w:tcW w:w="2409" w:type="dxa"/>
            <w:tcBorders>
              <w:top w:val="nil"/>
              <w:left w:val="nil"/>
              <w:bottom w:val="nil"/>
              <w:right w:val="nil"/>
            </w:tcBorders>
            <w:shd w:val="clear" w:color="auto" w:fill="FFFFFF" w:themeFill="background1"/>
            <w:noWrap/>
            <w:vAlign w:val="top"/>
          </w:tcPr>
          <w:p w14:paraId="68DB1B80">
            <w:pPr>
              <w:snapToGrid w:val="0"/>
              <w:spacing w:before="0" w:beforeLines="0" w:after="0" w:afterLines="0"/>
              <w:ind w:left="0" w:leftChars="0" w:right="0" w:rightChars="0" w:firstLine="0" w:firstLineChars="0"/>
              <w:jc w:val="left"/>
              <w:rPr>
                <w:sz w:val="18"/>
                <w:szCs w:val="18"/>
              </w:rPr>
            </w:pPr>
            <w:r>
              <w:rPr>
                <w:sz w:val="18"/>
                <w:szCs w:val="18"/>
                <w:lang w:bidi="ar"/>
              </w:rPr>
              <w:t>MBL (metallo-β-lactamases): [VIM-1, VIM-2, VIM-7, IMP-16, GIM-1 and SPM-1]</w:t>
            </w:r>
          </w:p>
        </w:tc>
        <w:tc>
          <w:tcPr>
            <w:tcW w:w="3239" w:type="dxa"/>
            <w:tcBorders>
              <w:top w:val="nil"/>
              <w:left w:val="nil"/>
              <w:bottom w:val="nil"/>
              <w:right w:val="nil"/>
            </w:tcBorders>
            <w:shd w:val="clear" w:color="auto" w:fill="FFFFFF" w:themeFill="background1"/>
            <w:vAlign w:val="top"/>
          </w:tcPr>
          <w:p w14:paraId="38BAE713">
            <w:pPr>
              <w:snapToGrid w:val="0"/>
              <w:spacing w:before="0" w:beforeLines="0" w:after="0" w:afterLines="0"/>
              <w:ind w:left="0" w:leftChars="0" w:right="0" w:rightChars="0" w:firstLine="0" w:firstLineChars="0"/>
              <w:jc w:val="left"/>
              <w:rPr>
                <w:sz w:val="18"/>
                <w:szCs w:val="18"/>
              </w:rPr>
            </w:pPr>
            <w:r>
              <w:rPr>
                <w:sz w:val="18"/>
                <w:szCs w:val="18"/>
                <w:lang w:bidi="ar"/>
              </w:rPr>
              <w:t>Combined imipenem discs supplemented with EDTA (IPM-EDTA)</w:t>
            </w:r>
          </w:p>
        </w:tc>
        <w:tc>
          <w:tcPr>
            <w:tcW w:w="2007" w:type="dxa"/>
            <w:tcBorders>
              <w:top w:val="nil"/>
              <w:left w:val="nil"/>
              <w:bottom w:val="nil"/>
              <w:right w:val="nil"/>
            </w:tcBorders>
            <w:shd w:val="clear" w:color="auto" w:fill="FFFFFF" w:themeFill="background1"/>
            <w:vAlign w:val="top"/>
          </w:tcPr>
          <w:p w14:paraId="753F9B1E">
            <w:pPr>
              <w:snapToGrid w:val="0"/>
              <w:spacing w:before="0" w:beforeLines="0" w:after="0" w:afterLines="0"/>
              <w:ind w:left="0" w:leftChars="0" w:right="0" w:rightChars="0" w:firstLine="0" w:firstLineChars="0"/>
              <w:jc w:val="left"/>
              <w:rPr>
                <w:sz w:val="18"/>
                <w:szCs w:val="18"/>
              </w:rPr>
            </w:pPr>
            <w:r>
              <w:rPr>
                <w:sz w:val="18"/>
                <w:szCs w:val="18"/>
                <w:lang w:bidi="ar"/>
              </w:rPr>
              <w:t>PCR and DNA sequence analysis</w:t>
            </w:r>
          </w:p>
        </w:tc>
        <w:tc>
          <w:tcPr>
            <w:tcW w:w="1164" w:type="dxa"/>
            <w:tcBorders>
              <w:top w:val="nil"/>
              <w:left w:val="nil"/>
              <w:bottom w:val="nil"/>
              <w:right w:val="nil"/>
            </w:tcBorders>
            <w:shd w:val="clear" w:color="auto" w:fill="FFFFFF" w:themeFill="background1"/>
            <w:noWrap/>
            <w:vAlign w:val="top"/>
          </w:tcPr>
          <w:p w14:paraId="242EB839">
            <w:pPr>
              <w:snapToGrid w:val="0"/>
              <w:spacing w:before="0" w:beforeLines="0" w:after="0" w:afterLines="0"/>
              <w:ind w:left="0" w:leftChars="0" w:right="0" w:rightChars="0" w:firstLine="0" w:firstLineChars="0"/>
              <w:jc w:val="center"/>
              <w:rPr>
                <w:sz w:val="18"/>
                <w:szCs w:val="18"/>
              </w:rPr>
            </w:pPr>
            <w:r>
              <w:rPr>
                <w:sz w:val="18"/>
                <w:szCs w:val="18"/>
                <w:lang w:bidi="ar"/>
              </w:rPr>
              <w:t>Specificity</w:t>
            </w:r>
          </w:p>
        </w:tc>
        <w:tc>
          <w:tcPr>
            <w:tcW w:w="940" w:type="dxa"/>
            <w:tcBorders>
              <w:top w:val="nil"/>
              <w:left w:val="nil"/>
              <w:bottom w:val="nil"/>
              <w:right w:val="nil"/>
            </w:tcBorders>
            <w:shd w:val="clear" w:color="auto" w:fill="FFFFFF" w:themeFill="background1"/>
            <w:noWrap/>
            <w:vAlign w:val="top"/>
          </w:tcPr>
          <w:p w14:paraId="2F5E32F5">
            <w:pPr>
              <w:snapToGrid w:val="0"/>
              <w:spacing w:before="0" w:beforeLines="0" w:after="0" w:afterLines="0"/>
              <w:ind w:left="0" w:leftChars="0" w:right="0" w:rightChars="0" w:firstLine="0" w:firstLineChars="0"/>
              <w:jc w:val="center"/>
              <w:rPr>
                <w:sz w:val="18"/>
                <w:szCs w:val="18"/>
              </w:rPr>
            </w:pPr>
            <w:r>
              <w:rPr>
                <w:sz w:val="18"/>
                <w:szCs w:val="18"/>
                <w:lang w:bidi="ar"/>
              </w:rPr>
              <w:t>91.0%</w:t>
            </w:r>
          </w:p>
        </w:tc>
      </w:tr>
      <w:tr w14:paraId="2E82D3AD">
        <w:tblPrEx>
          <w:shd w:val="clear" w:color="auto" w:fill="FFFFFF" w:themeFill="background1"/>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5EC480CA">
            <w:pPr>
              <w:snapToGrid w:val="0"/>
              <w:spacing w:before="0" w:beforeLines="0" w:after="0" w:afterLines="0"/>
              <w:ind w:left="0" w:leftChars="0" w:right="0" w:rightChars="0" w:firstLine="0" w:firstLineChars="0"/>
              <w:jc w:val="left"/>
              <w:rPr>
                <w:sz w:val="18"/>
                <w:szCs w:val="18"/>
              </w:rPr>
            </w:pPr>
            <w:r>
              <w:rPr>
                <w:sz w:val="18"/>
                <w:szCs w:val="18"/>
                <w:lang w:bidi="ar"/>
              </w:rPr>
              <w:t>Bij 2011</w:t>
            </w:r>
          </w:p>
        </w:tc>
        <w:tc>
          <w:tcPr>
            <w:tcW w:w="1902" w:type="dxa"/>
            <w:tcBorders>
              <w:top w:val="nil"/>
              <w:left w:val="nil"/>
              <w:bottom w:val="nil"/>
              <w:right w:val="nil"/>
            </w:tcBorders>
            <w:shd w:val="clear" w:color="auto" w:fill="FFFFFF" w:themeFill="background1"/>
            <w:noWrap/>
            <w:vAlign w:val="top"/>
          </w:tcPr>
          <w:p w14:paraId="338DB062">
            <w:pPr>
              <w:snapToGrid w:val="0"/>
              <w:spacing w:before="0" w:beforeLines="0" w:after="0" w:afterLines="0"/>
              <w:ind w:left="0" w:leftChars="0" w:right="0" w:rightChars="0" w:firstLine="0" w:firstLineChars="0"/>
              <w:jc w:val="left"/>
              <w:rPr>
                <w:sz w:val="18"/>
                <w:szCs w:val="18"/>
              </w:rPr>
            </w:pPr>
            <w:r>
              <w:rPr>
                <w:sz w:val="18"/>
                <w:szCs w:val="18"/>
                <w:lang w:bidi="ar"/>
              </w:rPr>
              <w:t>IRPA</w:t>
            </w:r>
          </w:p>
        </w:tc>
        <w:tc>
          <w:tcPr>
            <w:tcW w:w="1373" w:type="dxa"/>
            <w:tcBorders>
              <w:top w:val="nil"/>
              <w:left w:val="nil"/>
              <w:bottom w:val="nil"/>
              <w:right w:val="nil"/>
            </w:tcBorders>
            <w:shd w:val="clear" w:color="auto" w:fill="FFFFFF" w:themeFill="background1"/>
            <w:noWrap/>
            <w:vAlign w:val="top"/>
          </w:tcPr>
          <w:p w14:paraId="5DB461C3">
            <w:pPr>
              <w:snapToGrid w:val="0"/>
              <w:spacing w:before="0" w:beforeLines="0" w:after="0" w:afterLines="0"/>
              <w:ind w:left="0" w:leftChars="0" w:right="0" w:rightChars="0" w:firstLine="0" w:firstLineChars="0"/>
              <w:jc w:val="center"/>
              <w:rPr>
                <w:sz w:val="18"/>
                <w:szCs w:val="18"/>
              </w:rPr>
            </w:pPr>
            <w:r>
              <w:rPr>
                <w:sz w:val="18"/>
                <w:szCs w:val="18"/>
                <w:lang w:bidi="ar"/>
              </w:rPr>
              <w:t>96</w:t>
            </w:r>
          </w:p>
        </w:tc>
        <w:tc>
          <w:tcPr>
            <w:tcW w:w="2409" w:type="dxa"/>
            <w:tcBorders>
              <w:top w:val="nil"/>
              <w:left w:val="nil"/>
              <w:bottom w:val="nil"/>
              <w:right w:val="nil"/>
            </w:tcBorders>
            <w:shd w:val="clear" w:color="auto" w:fill="FFFFFF" w:themeFill="background1"/>
            <w:noWrap/>
            <w:vAlign w:val="top"/>
          </w:tcPr>
          <w:p w14:paraId="6C175E96">
            <w:pPr>
              <w:snapToGrid w:val="0"/>
              <w:spacing w:before="0" w:beforeLines="0" w:after="0" w:afterLines="0"/>
              <w:ind w:left="0" w:leftChars="0" w:right="0" w:rightChars="0" w:firstLine="0" w:firstLineChars="0"/>
              <w:jc w:val="left"/>
              <w:rPr>
                <w:sz w:val="18"/>
                <w:szCs w:val="18"/>
              </w:rPr>
            </w:pPr>
            <w:r>
              <w:rPr>
                <w:sz w:val="18"/>
                <w:szCs w:val="18"/>
                <w:lang w:bidi="ar"/>
              </w:rPr>
              <w:t>MBL (metallo-β-lactamases)</w:t>
            </w:r>
          </w:p>
        </w:tc>
        <w:tc>
          <w:tcPr>
            <w:tcW w:w="3239" w:type="dxa"/>
            <w:tcBorders>
              <w:top w:val="nil"/>
              <w:left w:val="nil"/>
              <w:bottom w:val="nil"/>
              <w:right w:val="nil"/>
            </w:tcBorders>
            <w:shd w:val="clear" w:color="auto" w:fill="FFFFFF" w:themeFill="background1"/>
            <w:vAlign w:val="top"/>
          </w:tcPr>
          <w:p w14:paraId="57949E25">
            <w:pPr>
              <w:snapToGrid w:val="0"/>
              <w:spacing w:before="0" w:beforeLines="0" w:after="0" w:afterLines="0"/>
              <w:ind w:left="0" w:leftChars="0" w:right="0" w:rightChars="0" w:firstLine="0" w:firstLineChars="0"/>
              <w:jc w:val="left"/>
              <w:rPr>
                <w:sz w:val="18"/>
                <w:szCs w:val="18"/>
              </w:rPr>
            </w:pPr>
            <w:r>
              <w:rPr>
                <w:sz w:val="18"/>
                <w:szCs w:val="18"/>
                <w:lang w:bidi="ar"/>
              </w:rPr>
              <w:t>Combined disk (CD) test-EDTA-Imipenem ≥ 6 mm</w:t>
            </w:r>
          </w:p>
        </w:tc>
        <w:tc>
          <w:tcPr>
            <w:tcW w:w="2007" w:type="dxa"/>
            <w:tcBorders>
              <w:top w:val="nil"/>
              <w:left w:val="nil"/>
              <w:bottom w:val="nil"/>
              <w:right w:val="nil"/>
            </w:tcBorders>
            <w:shd w:val="clear" w:color="auto" w:fill="FFFFFF" w:themeFill="background1"/>
            <w:vAlign w:val="top"/>
          </w:tcPr>
          <w:p w14:paraId="7B83E2CE">
            <w:pPr>
              <w:snapToGrid w:val="0"/>
              <w:spacing w:before="0" w:beforeLines="0" w:after="0" w:afterLines="0"/>
              <w:ind w:left="0" w:leftChars="0" w:right="0" w:rightChars="0" w:firstLine="0" w:firstLineChars="0"/>
              <w:jc w:val="left"/>
              <w:rPr>
                <w:sz w:val="18"/>
                <w:szCs w:val="18"/>
              </w:rPr>
            </w:pPr>
            <w:r>
              <w:rPr>
                <w:sz w:val="18"/>
                <w:szCs w:val="18"/>
                <w:lang w:bidi="ar"/>
              </w:rPr>
              <w:t>PCR</w:t>
            </w:r>
          </w:p>
        </w:tc>
        <w:tc>
          <w:tcPr>
            <w:tcW w:w="1164" w:type="dxa"/>
            <w:tcBorders>
              <w:top w:val="nil"/>
              <w:left w:val="nil"/>
              <w:bottom w:val="nil"/>
              <w:right w:val="nil"/>
            </w:tcBorders>
            <w:shd w:val="clear" w:color="auto" w:fill="FFFFFF" w:themeFill="background1"/>
            <w:noWrap/>
            <w:vAlign w:val="top"/>
          </w:tcPr>
          <w:p w14:paraId="0DA0F239">
            <w:pPr>
              <w:snapToGrid w:val="0"/>
              <w:spacing w:before="0" w:beforeLines="0" w:after="0" w:afterLines="0"/>
              <w:ind w:left="0" w:leftChars="0" w:right="0" w:rightChars="0" w:firstLine="0" w:firstLineChars="0"/>
              <w:jc w:val="center"/>
              <w:rPr>
                <w:sz w:val="18"/>
                <w:szCs w:val="18"/>
              </w:rPr>
            </w:pPr>
            <w:r>
              <w:rPr>
                <w:sz w:val="18"/>
                <w:szCs w:val="18"/>
                <w:lang w:bidi="ar"/>
              </w:rPr>
              <w:t>Sensitivity</w:t>
            </w:r>
          </w:p>
        </w:tc>
        <w:tc>
          <w:tcPr>
            <w:tcW w:w="940" w:type="dxa"/>
            <w:tcBorders>
              <w:top w:val="nil"/>
              <w:left w:val="nil"/>
              <w:bottom w:val="nil"/>
              <w:right w:val="nil"/>
            </w:tcBorders>
            <w:shd w:val="clear" w:color="auto" w:fill="FFFFFF" w:themeFill="background1"/>
            <w:noWrap/>
            <w:vAlign w:val="top"/>
          </w:tcPr>
          <w:p w14:paraId="72793212">
            <w:pPr>
              <w:snapToGrid w:val="0"/>
              <w:spacing w:before="0" w:beforeLines="0" w:after="0" w:afterLines="0"/>
              <w:ind w:left="0" w:leftChars="0" w:right="0" w:rightChars="0" w:firstLine="0" w:firstLineChars="0"/>
              <w:jc w:val="center"/>
              <w:rPr>
                <w:sz w:val="18"/>
                <w:szCs w:val="18"/>
              </w:rPr>
            </w:pPr>
            <w:r>
              <w:rPr>
                <w:sz w:val="18"/>
                <w:szCs w:val="18"/>
                <w:lang w:bidi="ar"/>
              </w:rPr>
              <w:t>100.0%</w:t>
            </w:r>
          </w:p>
        </w:tc>
      </w:tr>
      <w:tr w14:paraId="15514DED">
        <w:tblPrEx>
          <w:shd w:val="clear" w:color="auto" w:fill="FFFFFF" w:themeFill="background1"/>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6BFF667E">
            <w:pPr>
              <w:snapToGrid w:val="0"/>
              <w:spacing w:before="0" w:beforeLines="0" w:after="0" w:afterLines="0"/>
              <w:ind w:left="0" w:leftChars="0" w:right="0" w:rightChars="0" w:firstLine="0" w:firstLineChars="0"/>
              <w:jc w:val="left"/>
              <w:rPr>
                <w:sz w:val="18"/>
                <w:szCs w:val="18"/>
              </w:rPr>
            </w:pPr>
            <w:r>
              <w:rPr>
                <w:sz w:val="18"/>
                <w:szCs w:val="18"/>
                <w:lang w:bidi="ar"/>
              </w:rPr>
              <w:t>Bij 2011</w:t>
            </w:r>
          </w:p>
        </w:tc>
        <w:tc>
          <w:tcPr>
            <w:tcW w:w="1902" w:type="dxa"/>
            <w:tcBorders>
              <w:top w:val="nil"/>
              <w:left w:val="nil"/>
              <w:bottom w:val="nil"/>
              <w:right w:val="nil"/>
            </w:tcBorders>
            <w:shd w:val="clear" w:color="auto" w:fill="FFFFFF" w:themeFill="background1"/>
            <w:noWrap/>
            <w:vAlign w:val="top"/>
          </w:tcPr>
          <w:p w14:paraId="400BD706">
            <w:pPr>
              <w:snapToGrid w:val="0"/>
              <w:spacing w:before="0" w:beforeLines="0" w:after="0" w:afterLines="0"/>
              <w:ind w:left="0" w:leftChars="0" w:right="0" w:rightChars="0" w:firstLine="0" w:firstLineChars="0"/>
              <w:jc w:val="left"/>
              <w:rPr>
                <w:sz w:val="18"/>
                <w:szCs w:val="18"/>
              </w:rPr>
            </w:pPr>
            <w:r>
              <w:rPr>
                <w:sz w:val="18"/>
                <w:szCs w:val="18"/>
                <w:lang w:bidi="ar"/>
              </w:rPr>
              <w:t>IRPA</w:t>
            </w:r>
          </w:p>
        </w:tc>
        <w:tc>
          <w:tcPr>
            <w:tcW w:w="1373" w:type="dxa"/>
            <w:tcBorders>
              <w:top w:val="nil"/>
              <w:left w:val="nil"/>
              <w:bottom w:val="nil"/>
              <w:right w:val="nil"/>
            </w:tcBorders>
            <w:shd w:val="clear" w:color="auto" w:fill="FFFFFF" w:themeFill="background1"/>
            <w:noWrap/>
            <w:vAlign w:val="top"/>
          </w:tcPr>
          <w:p w14:paraId="2144E6B6">
            <w:pPr>
              <w:snapToGrid w:val="0"/>
              <w:spacing w:before="0" w:beforeLines="0" w:after="0" w:afterLines="0"/>
              <w:ind w:left="0" w:leftChars="0" w:right="0" w:rightChars="0" w:firstLine="0" w:firstLineChars="0"/>
              <w:jc w:val="center"/>
              <w:rPr>
                <w:sz w:val="18"/>
                <w:szCs w:val="18"/>
              </w:rPr>
            </w:pPr>
            <w:r>
              <w:rPr>
                <w:sz w:val="18"/>
                <w:szCs w:val="18"/>
                <w:lang w:bidi="ar"/>
              </w:rPr>
              <w:t>96</w:t>
            </w:r>
          </w:p>
        </w:tc>
        <w:tc>
          <w:tcPr>
            <w:tcW w:w="2409" w:type="dxa"/>
            <w:tcBorders>
              <w:top w:val="nil"/>
              <w:left w:val="nil"/>
              <w:bottom w:val="nil"/>
              <w:right w:val="nil"/>
            </w:tcBorders>
            <w:shd w:val="clear" w:color="auto" w:fill="FFFFFF" w:themeFill="background1"/>
            <w:noWrap/>
            <w:vAlign w:val="top"/>
          </w:tcPr>
          <w:p w14:paraId="6B538C50">
            <w:pPr>
              <w:snapToGrid w:val="0"/>
              <w:spacing w:before="0" w:beforeLines="0" w:after="0" w:afterLines="0"/>
              <w:ind w:left="0" w:leftChars="0" w:right="0" w:rightChars="0" w:firstLine="0" w:firstLineChars="0"/>
              <w:jc w:val="left"/>
              <w:rPr>
                <w:sz w:val="18"/>
                <w:szCs w:val="18"/>
              </w:rPr>
            </w:pPr>
            <w:r>
              <w:rPr>
                <w:sz w:val="18"/>
                <w:szCs w:val="18"/>
                <w:lang w:bidi="ar"/>
              </w:rPr>
              <w:t>MBL (metallo-β-lactamases)</w:t>
            </w:r>
          </w:p>
        </w:tc>
        <w:tc>
          <w:tcPr>
            <w:tcW w:w="3239" w:type="dxa"/>
            <w:tcBorders>
              <w:top w:val="nil"/>
              <w:left w:val="nil"/>
              <w:bottom w:val="nil"/>
              <w:right w:val="nil"/>
            </w:tcBorders>
            <w:shd w:val="clear" w:color="auto" w:fill="FFFFFF" w:themeFill="background1"/>
            <w:vAlign w:val="top"/>
          </w:tcPr>
          <w:p w14:paraId="7F3ABBBD">
            <w:pPr>
              <w:snapToGrid w:val="0"/>
              <w:spacing w:before="0" w:beforeLines="0" w:after="0" w:afterLines="0"/>
              <w:ind w:left="0" w:leftChars="0" w:right="0" w:rightChars="0" w:firstLine="0" w:firstLineChars="0"/>
              <w:jc w:val="left"/>
              <w:rPr>
                <w:sz w:val="18"/>
                <w:szCs w:val="18"/>
              </w:rPr>
            </w:pPr>
            <w:r>
              <w:rPr>
                <w:sz w:val="18"/>
                <w:szCs w:val="18"/>
                <w:lang w:bidi="ar"/>
              </w:rPr>
              <w:t>Combined disk (CD) test-EDTA-Imipenem ≥ 6 mm</w:t>
            </w:r>
          </w:p>
        </w:tc>
        <w:tc>
          <w:tcPr>
            <w:tcW w:w="2007" w:type="dxa"/>
            <w:tcBorders>
              <w:top w:val="nil"/>
              <w:left w:val="nil"/>
              <w:bottom w:val="nil"/>
              <w:right w:val="nil"/>
            </w:tcBorders>
            <w:shd w:val="clear" w:color="auto" w:fill="FFFFFF" w:themeFill="background1"/>
            <w:vAlign w:val="top"/>
          </w:tcPr>
          <w:p w14:paraId="0B414A68">
            <w:pPr>
              <w:snapToGrid w:val="0"/>
              <w:spacing w:before="0" w:beforeLines="0" w:after="0" w:afterLines="0"/>
              <w:ind w:left="0" w:leftChars="0" w:right="0" w:rightChars="0" w:firstLine="0" w:firstLineChars="0"/>
              <w:jc w:val="left"/>
              <w:rPr>
                <w:sz w:val="18"/>
                <w:szCs w:val="18"/>
              </w:rPr>
            </w:pPr>
            <w:r>
              <w:rPr>
                <w:sz w:val="18"/>
                <w:szCs w:val="18"/>
                <w:lang w:bidi="ar"/>
              </w:rPr>
              <w:t>PCR</w:t>
            </w:r>
          </w:p>
        </w:tc>
        <w:tc>
          <w:tcPr>
            <w:tcW w:w="1164" w:type="dxa"/>
            <w:tcBorders>
              <w:top w:val="nil"/>
              <w:left w:val="nil"/>
              <w:bottom w:val="nil"/>
              <w:right w:val="nil"/>
            </w:tcBorders>
            <w:shd w:val="clear" w:color="auto" w:fill="FFFFFF" w:themeFill="background1"/>
            <w:noWrap/>
            <w:vAlign w:val="top"/>
          </w:tcPr>
          <w:p w14:paraId="62D03E49">
            <w:pPr>
              <w:snapToGrid w:val="0"/>
              <w:spacing w:before="0" w:beforeLines="0" w:after="0" w:afterLines="0"/>
              <w:ind w:left="0" w:leftChars="0" w:right="0" w:rightChars="0" w:firstLine="0" w:firstLineChars="0"/>
              <w:jc w:val="center"/>
              <w:rPr>
                <w:sz w:val="18"/>
                <w:szCs w:val="18"/>
              </w:rPr>
            </w:pPr>
            <w:r>
              <w:rPr>
                <w:sz w:val="18"/>
                <w:szCs w:val="18"/>
                <w:lang w:bidi="ar"/>
              </w:rPr>
              <w:t>Specificity</w:t>
            </w:r>
          </w:p>
        </w:tc>
        <w:tc>
          <w:tcPr>
            <w:tcW w:w="940" w:type="dxa"/>
            <w:tcBorders>
              <w:top w:val="nil"/>
              <w:left w:val="nil"/>
              <w:bottom w:val="nil"/>
              <w:right w:val="nil"/>
            </w:tcBorders>
            <w:shd w:val="clear" w:color="auto" w:fill="FFFFFF" w:themeFill="background1"/>
            <w:noWrap/>
            <w:vAlign w:val="top"/>
          </w:tcPr>
          <w:p w14:paraId="69F273CC">
            <w:pPr>
              <w:snapToGrid w:val="0"/>
              <w:spacing w:before="0" w:beforeLines="0" w:after="0" w:afterLines="0"/>
              <w:ind w:left="0" w:leftChars="0" w:right="0" w:rightChars="0" w:firstLine="0" w:firstLineChars="0"/>
              <w:jc w:val="center"/>
              <w:rPr>
                <w:sz w:val="18"/>
                <w:szCs w:val="18"/>
              </w:rPr>
            </w:pPr>
            <w:r>
              <w:rPr>
                <w:sz w:val="18"/>
                <w:szCs w:val="18"/>
                <w:lang w:bidi="ar"/>
              </w:rPr>
              <w:t>97.0%</w:t>
            </w:r>
          </w:p>
        </w:tc>
      </w:tr>
      <w:tr w14:paraId="36E4A880">
        <w:tblPrEx>
          <w:shd w:val="clear" w:color="auto" w:fill="FFFFFF" w:themeFill="background1"/>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6B273764">
            <w:pPr>
              <w:snapToGrid w:val="0"/>
              <w:spacing w:before="0" w:beforeLines="0" w:after="0" w:afterLines="0"/>
              <w:ind w:left="0" w:leftChars="0" w:right="0" w:rightChars="0" w:firstLine="0" w:firstLineChars="0"/>
              <w:jc w:val="left"/>
              <w:rPr>
                <w:sz w:val="18"/>
                <w:szCs w:val="18"/>
              </w:rPr>
            </w:pPr>
            <w:r>
              <w:rPr>
                <w:sz w:val="18"/>
                <w:szCs w:val="18"/>
                <w:lang w:bidi="ar"/>
              </w:rPr>
              <w:t>Othman 2018</w:t>
            </w:r>
          </w:p>
        </w:tc>
        <w:tc>
          <w:tcPr>
            <w:tcW w:w="1902" w:type="dxa"/>
            <w:tcBorders>
              <w:top w:val="nil"/>
              <w:left w:val="nil"/>
              <w:bottom w:val="nil"/>
              <w:right w:val="nil"/>
            </w:tcBorders>
            <w:shd w:val="clear" w:color="auto" w:fill="FFFFFF" w:themeFill="background1"/>
            <w:noWrap/>
            <w:vAlign w:val="top"/>
          </w:tcPr>
          <w:p w14:paraId="5A84DD4E">
            <w:pPr>
              <w:snapToGrid w:val="0"/>
              <w:spacing w:before="0" w:beforeLines="0" w:after="0" w:afterLines="0"/>
              <w:ind w:left="0" w:leftChars="0" w:right="0" w:rightChars="0" w:firstLine="0" w:firstLineChars="0"/>
              <w:jc w:val="left"/>
              <w:rPr>
                <w:sz w:val="18"/>
                <w:szCs w:val="18"/>
              </w:rPr>
            </w:pPr>
            <w:r>
              <w:rPr>
                <w:sz w:val="18"/>
                <w:szCs w:val="18"/>
                <w:lang w:bidi="ar"/>
              </w:rPr>
              <w:t>CRPA</w:t>
            </w:r>
          </w:p>
        </w:tc>
        <w:tc>
          <w:tcPr>
            <w:tcW w:w="1373" w:type="dxa"/>
            <w:tcBorders>
              <w:top w:val="nil"/>
              <w:left w:val="nil"/>
              <w:bottom w:val="nil"/>
              <w:right w:val="nil"/>
            </w:tcBorders>
            <w:shd w:val="clear" w:color="auto" w:fill="FFFFFF" w:themeFill="background1"/>
            <w:noWrap/>
            <w:vAlign w:val="top"/>
          </w:tcPr>
          <w:p w14:paraId="362ADB6B">
            <w:pPr>
              <w:snapToGrid w:val="0"/>
              <w:spacing w:before="0" w:beforeLines="0" w:after="0" w:afterLines="0"/>
              <w:ind w:left="0" w:leftChars="0" w:right="0" w:rightChars="0" w:firstLine="0" w:firstLineChars="0"/>
              <w:jc w:val="center"/>
              <w:rPr>
                <w:sz w:val="18"/>
                <w:szCs w:val="18"/>
              </w:rPr>
            </w:pPr>
            <w:r>
              <w:rPr>
                <w:sz w:val="18"/>
                <w:szCs w:val="18"/>
                <w:lang w:bidi="ar"/>
              </w:rPr>
              <w:t>100</w:t>
            </w:r>
          </w:p>
        </w:tc>
        <w:tc>
          <w:tcPr>
            <w:tcW w:w="2409" w:type="dxa"/>
            <w:tcBorders>
              <w:top w:val="nil"/>
              <w:left w:val="nil"/>
              <w:bottom w:val="nil"/>
              <w:right w:val="nil"/>
            </w:tcBorders>
            <w:shd w:val="clear" w:color="auto" w:fill="FFFFFF" w:themeFill="background1"/>
            <w:noWrap/>
            <w:vAlign w:val="top"/>
          </w:tcPr>
          <w:p w14:paraId="253068CC">
            <w:pPr>
              <w:snapToGrid w:val="0"/>
              <w:spacing w:before="0" w:beforeLines="0" w:after="0" w:afterLines="0"/>
              <w:ind w:left="0" w:leftChars="0" w:right="0" w:rightChars="0" w:firstLine="0" w:firstLineChars="0"/>
              <w:jc w:val="left"/>
              <w:rPr>
                <w:sz w:val="18"/>
                <w:szCs w:val="18"/>
              </w:rPr>
            </w:pPr>
            <w:r>
              <w:rPr>
                <w:sz w:val="18"/>
                <w:szCs w:val="18"/>
                <w:lang w:bidi="ar"/>
              </w:rPr>
              <w:t>Carbapenemase</w:t>
            </w:r>
          </w:p>
        </w:tc>
        <w:tc>
          <w:tcPr>
            <w:tcW w:w="3239" w:type="dxa"/>
            <w:tcBorders>
              <w:top w:val="nil"/>
              <w:left w:val="nil"/>
              <w:bottom w:val="nil"/>
              <w:right w:val="nil"/>
            </w:tcBorders>
            <w:shd w:val="clear" w:color="auto" w:fill="FFFFFF" w:themeFill="background1"/>
            <w:vAlign w:val="top"/>
          </w:tcPr>
          <w:p w14:paraId="4D31142E">
            <w:pPr>
              <w:snapToGrid w:val="0"/>
              <w:spacing w:before="0" w:beforeLines="0" w:after="0" w:afterLines="0"/>
              <w:ind w:left="0" w:leftChars="0" w:right="0" w:rightChars="0" w:firstLine="0" w:firstLineChars="0"/>
              <w:jc w:val="left"/>
              <w:rPr>
                <w:sz w:val="18"/>
                <w:szCs w:val="18"/>
              </w:rPr>
            </w:pPr>
            <w:r>
              <w:rPr>
                <w:sz w:val="18"/>
                <w:szCs w:val="18"/>
                <w:lang w:bidi="ar"/>
              </w:rPr>
              <w:t>Pseudomonas aeruginosa - Modified Hodge Test (PAE-MHT)</w:t>
            </w:r>
          </w:p>
        </w:tc>
        <w:tc>
          <w:tcPr>
            <w:tcW w:w="2007" w:type="dxa"/>
            <w:tcBorders>
              <w:top w:val="nil"/>
              <w:left w:val="nil"/>
              <w:bottom w:val="nil"/>
              <w:right w:val="nil"/>
            </w:tcBorders>
            <w:shd w:val="clear" w:color="auto" w:fill="FFFFFF" w:themeFill="background1"/>
            <w:vAlign w:val="top"/>
          </w:tcPr>
          <w:p w14:paraId="6EDFF9C8">
            <w:pPr>
              <w:snapToGrid w:val="0"/>
              <w:spacing w:before="0" w:beforeLines="0" w:after="0" w:afterLines="0"/>
              <w:ind w:left="0" w:leftChars="0" w:right="0" w:rightChars="0" w:firstLine="0" w:firstLineChars="0"/>
              <w:jc w:val="left"/>
              <w:rPr>
                <w:sz w:val="18"/>
                <w:szCs w:val="18"/>
              </w:rPr>
            </w:pPr>
            <w:r>
              <w:rPr>
                <w:sz w:val="18"/>
                <w:szCs w:val="18"/>
                <w:lang w:bidi="ar"/>
              </w:rPr>
              <w:t>PCR</w:t>
            </w:r>
          </w:p>
        </w:tc>
        <w:tc>
          <w:tcPr>
            <w:tcW w:w="1164" w:type="dxa"/>
            <w:tcBorders>
              <w:top w:val="nil"/>
              <w:left w:val="nil"/>
              <w:bottom w:val="nil"/>
              <w:right w:val="nil"/>
            </w:tcBorders>
            <w:shd w:val="clear" w:color="auto" w:fill="FFFFFF" w:themeFill="background1"/>
            <w:noWrap/>
            <w:vAlign w:val="top"/>
          </w:tcPr>
          <w:p w14:paraId="217E5C07">
            <w:pPr>
              <w:snapToGrid w:val="0"/>
              <w:spacing w:before="0" w:beforeLines="0" w:after="0" w:afterLines="0"/>
              <w:ind w:left="0" w:leftChars="0" w:right="0" w:rightChars="0" w:firstLine="0" w:firstLineChars="0"/>
              <w:jc w:val="center"/>
              <w:rPr>
                <w:sz w:val="18"/>
                <w:szCs w:val="18"/>
              </w:rPr>
            </w:pPr>
            <w:r>
              <w:rPr>
                <w:sz w:val="18"/>
                <w:szCs w:val="18"/>
                <w:lang w:bidi="ar"/>
              </w:rPr>
              <w:t>Sensitivity</w:t>
            </w:r>
          </w:p>
        </w:tc>
        <w:tc>
          <w:tcPr>
            <w:tcW w:w="940" w:type="dxa"/>
            <w:tcBorders>
              <w:top w:val="nil"/>
              <w:left w:val="nil"/>
              <w:bottom w:val="nil"/>
              <w:right w:val="nil"/>
            </w:tcBorders>
            <w:shd w:val="clear" w:color="auto" w:fill="FFFFFF" w:themeFill="background1"/>
            <w:noWrap/>
            <w:vAlign w:val="top"/>
          </w:tcPr>
          <w:p w14:paraId="079D4174">
            <w:pPr>
              <w:snapToGrid w:val="0"/>
              <w:spacing w:before="0" w:beforeLines="0" w:after="0" w:afterLines="0"/>
              <w:ind w:left="0" w:leftChars="0" w:right="0" w:rightChars="0" w:firstLine="0" w:firstLineChars="0"/>
              <w:jc w:val="center"/>
              <w:rPr>
                <w:sz w:val="18"/>
                <w:szCs w:val="18"/>
              </w:rPr>
            </w:pPr>
            <w:r>
              <w:rPr>
                <w:sz w:val="18"/>
                <w:szCs w:val="18"/>
                <w:lang w:bidi="ar"/>
              </w:rPr>
              <w:t>97.8%</w:t>
            </w:r>
          </w:p>
        </w:tc>
      </w:tr>
      <w:tr w14:paraId="7369223A">
        <w:tblPrEx>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7D211A87">
            <w:pPr>
              <w:snapToGrid w:val="0"/>
              <w:spacing w:before="0" w:beforeLines="0" w:after="0" w:afterLines="0"/>
              <w:ind w:left="0" w:leftChars="0" w:right="0" w:rightChars="0" w:firstLine="0" w:firstLineChars="0"/>
              <w:jc w:val="left"/>
              <w:rPr>
                <w:sz w:val="18"/>
                <w:szCs w:val="18"/>
              </w:rPr>
            </w:pPr>
            <w:r>
              <w:rPr>
                <w:sz w:val="18"/>
                <w:szCs w:val="18"/>
                <w:lang w:bidi="ar"/>
              </w:rPr>
              <w:t>Othman 2018</w:t>
            </w:r>
          </w:p>
        </w:tc>
        <w:tc>
          <w:tcPr>
            <w:tcW w:w="1902" w:type="dxa"/>
            <w:tcBorders>
              <w:top w:val="nil"/>
              <w:left w:val="nil"/>
              <w:bottom w:val="nil"/>
              <w:right w:val="nil"/>
            </w:tcBorders>
            <w:shd w:val="clear" w:color="auto" w:fill="FFFFFF" w:themeFill="background1"/>
            <w:noWrap/>
            <w:vAlign w:val="top"/>
          </w:tcPr>
          <w:p w14:paraId="7A0399B0">
            <w:pPr>
              <w:snapToGrid w:val="0"/>
              <w:spacing w:before="0" w:beforeLines="0" w:after="0" w:afterLines="0"/>
              <w:ind w:left="0" w:leftChars="0" w:right="0" w:rightChars="0" w:firstLine="0" w:firstLineChars="0"/>
              <w:jc w:val="left"/>
              <w:rPr>
                <w:sz w:val="18"/>
                <w:szCs w:val="18"/>
              </w:rPr>
            </w:pPr>
            <w:r>
              <w:rPr>
                <w:sz w:val="18"/>
                <w:szCs w:val="18"/>
                <w:lang w:bidi="ar"/>
              </w:rPr>
              <w:t>CRPA</w:t>
            </w:r>
          </w:p>
        </w:tc>
        <w:tc>
          <w:tcPr>
            <w:tcW w:w="1373" w:type="dxa"/>
            <w:tcBorders>
              <w:top w:val="nil"/>
              <w:left w:val="nil"/>
              <w:bottom w:val="nil"/>
              <w:right w:val="nil"/>
            </w:tcBorders>
            <w:shd w:val="clear" w:color="auto" w:fill="FFFFFF" w:themeFill="background1"/>
            <w:noWrap/>
            <w:vAlign w:val="top"/>
          </w:tcPr>
          <w:p w14:paraId="772BDD76">
            <w:pPr>
              <w:snapToGrid w:val="0"/>
              <w:spacing w:before="0" w:beforeLines="0" w:after="0" w:afterLines="0"/>
              <w:ind w:left="0" w:leftChars="0" w:right="0" w:rightChars="0" w:firstLine="0" w:firstLineChars="0"/>
              <w:jc w:val="center"/>
              <w:rPr>
                <w:sz w:val="18"/>
                <w:szCs w:val="18"/>
              </w:rPr>
            </w:pPr>
            <w:r>
              <w:rPr>
                <w:sz w:val="18"/>
                <w:szCs w:val="18"/>
                <w:lang w:bidi="ar"/>
              </w:rPr>
              <w:t>100</w:t>
            </w:r>
          </w:p>
        </w:tc>
        <w:tc>
          <w:tcPr>
            <w:tcW w:w="2409" w:type="dxa"/>
            <w:tcBorders>
              <w:top w:val="nil"/>
              <w:left w:val="nil"/>
              <w:bottom w:val="nil"/>
              <w:right w:val="nil"/>
            </w:tcBorders>
            <w:shd w:val="clear" w:color="auto" w:fill="FFFFFF" w:themeFill="background1"/>
            <w:noWrap/>
            <w:vAlign w:val="top"/>
          </w:tcPr>
          <w:p w14:paraId="68DBE0B1">
            <w:pPr>
              <w:snapToGrid w:val="0"/>
              <w:spacing w:before="0" w:beforeLines="0" w:after="0" w:afterLines="0"/>
              <w:ind w:left="0" w:leftChars="0" w:right="0" w:rightChars="0" w:firstLine="0" w:firstLineChars="0"/>
              <w:jc w:val="left"/>
              <w:rPr>
                <w:sz w:val="18"/>
                <w:szCs w:val="18"/>
              </w:rPr>
            </w:pPr>
            <w:r>
              <w:rPr>
                <w:sz w:val="18"/>
                <w:szCs w:val="18"/>
                <w:lang w:bidi="ar"/>
              </w:rPr>
              <w:t>Carbapenemase</w:t>
            </w:r>
          </w:p>
        </w:tc>
        <w:tc>
          <w:tcPr>
            <w:tcW w:w="3239" w:type="dxa"/>
            <w:tcBorders>
              <w:top w:val="nil"/>
              <w:left w:val="nil"/>
              <w:bottom w:val="nil"/>
              <w:right w:val="nil"/>
            </w:tcBorders>
            <w:shd w:val="clear" w:color="auto" w:fill="FFFFFF" w:themeFill="background1"/>
            <w:vAlign w:val="top"/>
          </w:tcPr>
          <w:p w14:paraId="5647C4A2">
            <w:pPr>
              <w:snapToGrid w:val="0"/>
              <w:spacing w:before="0" w:beforeLines="0" w:after="0" w:afterLines="0"/>
              <w:ind w:left="0" w:leftChars="0" w:right="0" w:rightChars="0" w:firstLine="0" w:firstLineChars="0"/>
              <w:jc w:val="left"/>
              <w:rPr>
                <w:sz w:val="18"/>
                <w:szCs w:val="18"/>
              </w:rPr>
            </w:pPr>
            <w:r>
              <w:rPr>
                <w:sz w:val="18"/>
                <w:szCs w:val="18"/>
                <w:lang w:bidi="ar"/>
              </w:rPr>
              <w:t>Pseudomonas aeruginosa - Modified Hodge Test (PAE-MHT)</w:t>
            </w:r>
          </w:p>
        </w:tc>
        <w:tc>
          <w:tcPr>
            <w:tcW w:w="2007" w:type="dxa"/>
            <w:tcBorders>
              <w:top w:val="nil"/>
              <w:left w:val="nil"/>
              <w:bottom w:val="nil"/>
              <w:right w:val="nil"/>
            </w:tcBorders>
            <w:shd w:val="clear" w:color="auto" w:fill="FFFFFF" w:themeFill="background1"/>
            <w:vAlign w:val="top"/>
          </w:tcPr>
          <w:p w14:paraId="1A4F6EFE">
            <w:pPr>
              <w:snapToGrid w:val="0"/>
              <w:spacing w:before="0" w:beforeLines="0" w:after="0" w:afterLines="0"/>
              <w:ind w:left="0" w:leftChars="0" w:right="0" w:rightChars="0" w:firstLine="0" w:firstLineChars="0"/>
              <w:jc w:val="left"/>
              <w:rPr>
                <w:sz w:val="18"/>
                <w:szCs w:val="18"/>
              </w:rPr>
            </w:pPr>
            <w:r>
              <w:rPr>
                <w:sz w:val="18"/>
                <w:szCs w:val="18"/>
                <w:lang w:bidi="ar"/>
              </w:rPr>
              <w:t>PCR</w:t>
            </w:r>
          </w:p>
        </w:tc>
        <w:tc>
          <w:tcPr>
            <w:tcW w:w="1164" w:type="dxa"/>
            <w:tcBorders>
              <w:top w:val="nil"/>
              <w:left w:val="nil"/>
              <w:bottom w:val="nil"/>
              <w:right w:val="nil"/>
            </w:tcBorders>
            <w:shd w:val="clear" w:color="auto" w:fill="FFFFFF" w:themeFill="background1"/>
            <w:noWrap/>
            <w:vAlign w:val="top"/>
          </w:tcPr>
          <w:p w14:paraId="7461CE94">
            <w:pPr>
              <w:snapToGrid w:val="0"/>
              <w:spacing w:before="0" w:beforeLines="0" w:after="0" w:afterLines="0"/>
              <w:ind w:left="0" w:leftChars="0" w:right="0" w:rightChars="0" w:firstLine="0" w:firstLineChars="0"/>
              <w:jc w:val="center"/>
              <w:rPr>
                <w:sz w:val="18"/>
                <w:szCs w:val="18"/>
              </w:rPr>
            </w:pPr>
            <w:r>
              <w:rPr>
                <w:sz w:val="18"/>
                <w:szCs w:val="18"/>
                <w:lang w:bidi="ar"/>
              </w:rPr>
              <w:t>Specificity</w:t>
            </w:r>
          </w:p>
        </w:tc>
        <w:tc>
          <w:tcPr>
            <w:tcW w:w="940" w:type="dxa"/>
            <w:tcBorders>
              <w:top w:val="nil"/>
              <w:left w:val="nil"/>
              <w:bottom w:val="nil"/>
              <w:right w:val="nil"/>
            </w:tcBorders>
            <w:shd w:val="clear" w:color="auto" w:fill="FFFFFF" w:themeFill="background1"/>
            <w:noWrap/>
            <w:vAlign w:val="top"/>
          </w:tcPr>
          <w:p w14:paraId="673EE878">
            <w:pPr>
              <w:snapToGrid w:val="0"/>
              <w:spacing w:before="0" w:beforeLines="0" w:after="0" w:afterLines="0"/>
              <w:ind w:left="0" w:leftChars="0" w:right="0" w:rightChars="0" w:firstLine="0" w:firstLineChars="0"/>
              <w:jc w:val="center"/>
              <w:rPr>
                <w:sz w:val="18"/>
                <w:szCs w:val="18"/>
              </w:rPr>
            </w:pPr>
            <w:r>
              <w:rPr>
                <w:sz w:val="18"/>
                <w:szCs w:val="18"/>
                <w:lang w:bidi="ar"/>
              </w:rPr>
              <w:t>80.0%</w:t>
            </w:r>
          </w:p>
        </w:tc>
      </w:tr>
      <w:tr w14:paraId="16F03BB9">
        <w:tblPrEx>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2352F4B9">
            <w:pPr>
              <w:snapToGrid w:val="0"/>
              <w:spacing w:before="0" w:beforeLines="0" w:after="0" w:afterLines="0"/>
              <w:ind w:left="0" w:leftChars="0" w:right="0" w:rightChars="0" w:firstLine="0" w:firstLineChars="0"/>
              <w:jc w:val="left"/>
              <w:rPr>
                <w:sz w:val="18"/>
                <w:szCs w:val="18"/>
              </w:rPr>
            </w:pPr>
            <w:r>
              <w:rPr>
                <w:sz w:val="18"/>
                <w:szCs w:val="18"/>
                <w:lang w:bidi="ar"/>
              </w:rPr>
              <w:t>Lucena 2014</w:t>
            </w:r>
          </w:p>
        </w:tc>
        <w:tc>
          <w:tcPr>
            <w:tcW w:w="1902" w:type="dxa"/>
            <w:tcBorders>
              <w:top w:val="nil"/>
              <w:left w:val="nil"/>
              <w:bottom w:val="nil"/>
              <w:right w:val="nil"/>
            </w:tcBorders>
            <w:shd w:val="clear" w:color="auto" w:fill="FFFFFF" w:themeFill="background1"/>
            <w:noWrap/>
            <w:vAlign w:val="top"/>
          </w:tcPr>
          <w:p w14:paraId="4083152E">
            <w:pPr>
              <w:snapToGrid w:val="0"/>
              <w:spacing w:before="0" w:beforeLines="0" w:after="0" w:afterLines="0"/>
              <w:ind w:left="0" w:leftChars="0" w:right="0" w:rightChars="0" w:firstLine="0" w:firstLineChars="0"/>
              <w:jc w:val="left"/>
              <w:rPr>
                <w:sz w:val="18"/>
                <w:szCs w:val="18"/>
              </w:rPr>
            </w:pPr>
            <w:r>
              <w:rPr>
                <w:sz w:val="18"/>
                <w:szCs w:val="18"/>
                <w:lang w:bidi="ar"/>
              </w:rPr>
              <w:t>IRPA</w:t>
            </w:r>
          </w:p>
        </w:tc>
        <w:tc>
          <w:tcPr>
            <w:tcW w:w="1373" w:type="dxa"/>
            <w:tcBorders>
              <w:top w:val="nil"/>
              <w:left w:val="nil"/>
              <w:bottom w:val="nil"/>
              <w:right w:val="nil"/>
            </w:tcBorders>
            <w:shd w:val="clear" w:color="auto" w:fill="FFFFFF" w:themeFill="background1"/>
            <w:noWrap/>
            <w:vAlign w:val="top"/>
          </w:tcPr>
          <w:p w14:paraId="7FD0537C">
            <w:pPr>
              <w:snapToGrid w:val="0"/>
              <w:spacing w:before="0" w:beforeLines="0" w:after="0" w:afterLines="0"/>
              <w:ind w:left="0" w:leftChars="0" w:right="0" w:rightChars="0" w:firstLine="0" w:firstLineChars="0"/>
              <w:jc w:val="center"/>
              <w:rPr>
                <w:sz w:val="18"/>
                <w:szCs w:val="18"/>
              </w:rPr>
            </w:pPr>
            <w:r>
              <w:rPr>
                <w:sz w:val="18"/>
                <w:szCs w:val="18"/>
                <w:lang w:bidi="ar"/>
              </w:rPr>
              <w:t>142</w:t>
            </w:r>
          </w:p>
        </w:tc>
        <w:tc>
          <w:tcPr>
            <w:tcW w:w="2409" w:type="dxa"/>
            <w:tcBorders>
              <w:top w:val="nil"/>
              <w:left w:val="nil"/>
              <w:bottom w:val="nil"/>
              <w:right w:val="nil"/>
            </w:tcBorders>
            <w:shd w:val="clear" w:color="auto" w:fill="FFFFFF" w:themeFill="background1"/>
            <w:noWrap/>
            <w:vAlign w:val="top"/>
          </w:tcPr>
          <w:p w14:paraId="761FAAB7">
            <w:pPr>
              <w:snapToGrid w:val="0"/>
              <w:spacing w:before="0" w:beforeLines="0" w:after="0" w:afterLines="0"/>
              <w:ind w:left="0" w:leftChars="0" w:right="0" w:rightChars="0" w:firstLine="0" w:firstLineChars="0"/>
              <w:jc w:val="left"/>
              <w:rPr>
                <w:sz w:val="18"/>
                <w:szCs w:val="18"/>
              </w:rPr>
            </w:pPr>
            <w:r>
              <w:rPr>
                <w:sz w:val="18"/>
                <w:szCs w:val="18"/>
                <w:lang w:bidi="ar"/>
              </w:rPr>
              <w:t>Metallo-β-lactamase</w:t>
            </w:r>
          </w:p>
        </w:tc>
        <w:tc>
          <w:tcPr>
            <w:tcW w:w="3239" w:type="dxa"/>
            <w:tcBorders>
              <w:top w:val="nil"/>
              <w:left w:val="nil"/>
              <w:bottom w:val="nil"/>
              <w:right w:val="nil"/>
            </w:tcBorders>
            <w:shd w:val="clear" w:color="auto" w:fill="FFFFFF" w:themeFill="background1"/>
            <w:vAlign w:val="top"/>
          </w:tcPr>
          <w:p w14:paraId="37E51343">
            <w:pPr>
              <w:snapToGrid w:val="0"/>
              <w:spacing w:before="0" w:beforeLines="0" w:after="0" w:afterLines="0"/>
              <w:ind w:left="0" w:leftChars="0" w:right="0" w:rightChars="0" w:firstLine="0" w:firstLineChars="0"/>
              <w:jc w:val="left"/>
              <w:rPr>
                <w:sz w:val="18"/>
                <w:szCs w:val="18"/>
              </w:rPr>
            </w:pPr>
            <w:r>
              <w:rPr>
                <w:sz w:val="18"/>
                <w:szCs w:val="18"/>
                <w:lang w:bidi="ar"/>
              </w:rPr>
              <w:t>Double Disk Synergy Test (DDST) CAZ/MPA</w:t>
            </w:r>
          </w:p>
        </w:tc>
        <w:tc>
          <w:tcPr>
            <w:tcW w:w="2007" w:type="dxa"/>
            <w:tcBorders>
              <w:top w:val="nil"/>
              <w:left w:val="nil"/>
              <w:bottom w:val="nil"/>
              <w:right w:val="nil"/>
            </w:tcBorders>
            <w:shd w:val="clear" w:color="auto" w:fill="FFFFFF" w:themeFill="background1"/>
            <w:vAlign w:val="top"/>
          </w:tcPr>
          <w:p w14:paraId="6A20B0A7">
            <w:pPr>
              <w:snapToGrid w:val="0"/>
              <w:spacing w:before="0" w:beforeLines="0" w:after="0" w:afterLines="0"/>
              <w:ind w:left="0" w:leftChars="0" w:right="0" w:rightChars="0" w:firstLine="0" w:firstLineChars="0"/>
              <w:jc w:val="left"/>
              <w:rPr>
                <w:sz w:val="18"/>
                <w:szCs w:val="18"/>
              </w:rPr>
            </w:pPr>
            <w:r>
              <w:rPr>
                <w:sz w:val="18"/>
                <w:szCs w:val="18"/>
                <w:lang w:bidi="ar"/>
              </w:rPr>
              <w:t>PCR</w:t>
            </w:r>
          </w:p>
        </w:tc>
        <w:tc>
          <w:tcPr>
            <w:tcW w:w="1164" w:type="dxa"/>
            <w:tcBorders>
              <w:top w:val="nil"/>
              <w:left w:val="nil"/>
              <w:bottom w:val="nil"/>
              <w:right w:val="nil"/>
            </w:tcBorders>
            <w:shd w:val="clear" w:color="auto" w:fill="FFFFFF" w:themeFill="background1"/>
            <w:noWrap/>
            <w:vAlign w:val="top"/>
          </w:tcPr>
          <w:p w14:paraId="0325E32B">
            <w:pPr>
              <w:snapToGrid w:val="0"/>
              <w:spacing w:before="0" w:beforeLines="0" w:after="0" w:afterLines="0"/>
              <w:ind w:left="0" w:leftChars="0" w:right="0" w:rightChars="0" w:firstLine="0" w:firstLineChars="0"/>
              <w:jc w:val="center"/>
              <w:rPr>
                <w:sz w:val="18"/>
                <w:szCs w:val="18"/>
              </w:rPr>
            </w:pPr>
            <w:r>
              <w:rPr>
                <w:sz w:val="18"/>
                <w:szCs w:val="18"/>
                <w:lang w:bidi="ar"/>
              </w:rPr>
              <w:t>Sensitivity</w:t>
            </w:r>
          </w:p>
        </w:tc>
        <w:tc>
          <w:tcPr>
            <w:tcW w:w="940" w:type="dxa"/>
            <w:tcBorders>
              <w:top w:val="nil"/>
              <w:left w:val="nil"/>
              <w:bottom w:val="nil"/>
              <w:right w:val="nil"/>
            </w:tcBorders>
            <w:shd w:val="clear" w:color="auto" w:fill="FFFFFF" w:themeFill="background1"/>
            <w:noWrap/>
            <w:vAlign w:val="top"/>
          </w:tcPr>
          <w:p w14:paraId="5F889CB2">
            <w:pPr>
              <w:snapToGrid w:val="0"/>
              <w:spacing w:before="0" w:beforeLines="0" w:after="0" w:afterLines="0"/>
              <w:ind w:left="0" w:leftChars="0" w:right="0" w:rightChars="0" w:firstLine="0" w:firstLineChars="0"/>
              <w:jc w:val="center"/>
              <w:rPr>
                <w:sz w:val="18"/>
                <w:szCs w:val="18"/>
              </w:rPr>
            </w:pPr>
            <w:r>
              <w:rPr>
                <w:sz w:val="18"/>
                <w:szCs w:val="18"/>
                <w:lang w:bidi="ar"/>
              </w:rPr>
              <w:t>100.0%</w:t>
            </w:r>
          </w:p>
        </w:tc>
      </w:tr>
      <w:tr w14:paraId="3D523F71">
        <w:tblPrEx>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192FF7A2">
            <w:pPr>
              <w:snapToGrid w:val="0"/>
              <w:spacing w:before="0" w:beforeLines="0" w:after="0" w:afterLines="0"/>
              <w:ind w:left="0" w:leftChars="0" w:right="0" w:rightChars="0" w:firstLine="0" w:firstLineChars="0"/>
              <w:jc w:val="left"/>
              <w:rPr>
                <w:sz w:val="18"/>
                <w:szCs w:val="18"/>
              </w:rPr>
            </w:pPr>
            <w:r>
              <w:rPr>
                <w:sz w:val="18"/>
                <w:szCs w:val="18"/>
                <w:lang w:bidi="ar"/>
              </w:rPr>
              <w:t>Lucena 2014</w:t>
            </w:r>
          </w:p>
        </w:tc>
        <w:tc>
          <w:tcPr>
            <w:tcW w:w="1902" w:type="dxa"/>
            <w:tcBorders>
              <w:top w:val="nil"/>
              <w:left w:val="nil"/>
              <w:bottom w:val="nil"/>
              <w:right w:val="nil"/>
            </w:tcBorders>
            <w:shd w:val="clear" w:color="auto" w:fill="FFFFFF" w:themeFill="background1"/>
            <w:noWrap/>
            <w:vAlign w:val="top"/>
          </w:tcPr>
          <w:p w14:paraId="603BCA02">
            <w:pPr>
              <w:snapToGrid w:val="0"/>
              <w:spacing w:before="0" w:beforeLines="0" w:after="0" w:afterLines="0"/>
              <w:ind w:left="0" w:leftChars="0" w:right="0" w:rightChars="0" w:firstLine="0" w:firstLineChars="0"/>
              <w:jc w:val="left"/>
              <w:rPr>
                <w:sz w:val="18"/>
                <w:szCs w:val="18"/>
              </w:rPr>
            </w:pPr>
            <w:r>
              <w:rPr>
                <w:sz w:val="18"/>
                <w:szCs w:val="18"/>
                <w:lang w:bidi="ar"/>
              </w:rPr>
              <w:t>IRPA</w:t>
            </w:r>
          </w:p>
        </w:tc>
        <w:tc>
          <w:tcPr>
            <w:tcW w:w="1373" w:type="dxa"/>
            <w:tcBorders>
              <w:top w:val="nil"/>
              <w:left w:val="nil"/>
              <w:bottom w:val="nil"/>
              <w:right w:val="nil"/>
            </w:tcBorders>
            <w:shd w:val="clear" w:color="auto" w:fill="FFFFFF" w:themeFill="background1"/>
            <w:noWrap/>
            <w:vAlign w:val="top"/>
          </w:tcPr>
          <w:p w14:paraId="70C1857E">
            <w:pPr>
              <w:snapToGrid w:val="0"/>
              <w:spacing w:before="0" w:beforeLines="0" w:after="0" w:afterLines="0"/>
              <w:ind w:left="0" w:leftChars="0" w:right="0" w:rightChars="0" w:firstLine="0" w:firstLineChars="0"/>
              <w:jc w:val="center"/>
              <w:rPr>
                <w:sz w:val="18"/>
                <w:szCs w:val="18"/>
              </w:rPr>
            </w:pPr>
            <w:r>
              <w:rPr>
                <w:sz w:val="18"/>
                <w:szCs w:val="18"/>
                <w:lang w:bidi="ar"/>
              </w:rPr>
              <w:t>142</w:t>
            </w:r>
          </w:p>
        </w:tc>
        <w:tc>
          <w:tcPr>
            <w:tcW w:w="2409" w:type="dxa"/>
            <w:tcBorders>
              <w:top w:val="nil"/>
              <w:left w:val="nil"/>
              <w:bottom w:val="nil"/>
              <w:right w:val="nil"/>
            </w:tcBorders>
            <w:shd w:val="clear" w:color="auto" w:fill="FFFFFF" w:themeFill="background1"/>
            <w:noWrap/>
            <w:vAlign w:val="top"/>
          </w:tcPr>
          <w:p w14:paraId="4B2B19A6">
            <w:pPr>
              <w:snapToGrid w:val="0"/>
              <w:spacing w:before="0" w:beforeLines="0" w:after="0" w:afterLines="0"/>
              <w:ind w:left="0" w:leftChars="0" w:right="0" w:rightChars="0" w:firstLine="0" w:firstLineChars="0"/>
              <w:jc w:val="left"/>
              <w:rPr>
                <w:sz w:val="18"/>
                <w:szCs w:val="18"/>
              </w:rPr>
            </w:pPr>
            <w:r>
              <w:rPr>
                <w:sz w:val="18"/>
                <w:szCs w:val="18"/>
                <w:lang w:bidi="ar"/>
              </w:rPr>
              <w:t>Metallo-β-lactamase</w:t>
            </w:r>
          </w:p>
        </w:tc>
        <w:tc>
          <w:tcPr>
            <w:tcW w:w="3239" w:type="dxa"/>
            <w:tcBorders>
              <w:top w:val="nil"/>
              <w:left w:val="nil"/>
              <w:bottom w:val="nil"/>
              <w:right w:val="nil"/>
            </w:tcBorders>
            <w:shd w:val="clear" w:color="auto" w:fill="FFFFFF" w:themeFill="background1"/>
            <w:vAlign w:val="top"/>
          </w:tcPr>
          <w:p w14:paraId="4F83DE47">
            <w:pPr>
              <w:snapToGrid w:val="0"/>
              <w:spacing w:before="0" w:beforeLines="0" w:after="0" w:afterLines="0"/>
              <w:ind w:left="0" w:leftChars="0" w:right="0" w:rightChars="0" w:firstLine="0" w:firstLineChars="0"/>
              <w:jc w:val="left"/>
              <w:rPr>
                <w:sz w:val="18"/>
                <w:szCs w:val="18"/>
              </w:rPr>
            </w:pPr>
            <w:r>
              <w:rPr>
                <w:sz w:val="18"/>
                <w:szCs w:val="18"/>
                <w:lang w:bidi="ar"/>
              </w:rPr>
              <w:t>Double Disk Synergy Test (DDST) CAZ/MPA</w:t>
            </w:r>
          </w:p>
        </w:tc>
        <w:tc>
          <w:tcPr>
            <w:tcW w:w="2007" w:type="dxa"/>
            <w:tcBorders>
              <w:top w:val="nil"/>
              <w:left w:val="nil"/>
              <w:bottom w:val="nil"/>
              <w:right w:val="nil"/>
            </w:tcBorders>
            <w:shd w:val="clear" w:color="auto" w:fill="FFFFFF" w:themeFill="background1"/>
            <w:vAlign w:val="top"/>
          </w:tcPr>
          <w:p w14:paraId="10F335FE">
            <w:pPr>
              <w:snapToGrid w:val="0"/>
              <w:spacing w:before="0" w:beforeLines="0" w:after="0" w:afterLines="0"/>
              <w:ind w:left="0" w:leftChars="0" w:right="0" w:rightChars="0" w:firstLine="0" w:firstLineChars="0"/>
              <w:jc w:val="left"/>
              <w:rPr>
                <w:sz w:val="18"/>
                <w:szCs w:val="18"/>
              </w:rPr>
            </w:pPr>
            <w:r>
              <w:rPr>
                <w:sz w:val="18"/>
                <w:szCs w:val="18"/>
                <w:lang w:bidi="ar"/>
              </w:rPr>
              <w:t>PCR</w:t>
            </w:r>
          </w:p>
        </w:tc>
        <w:tc>
          <w:tcPr>
            <w:tcW w:w="1164" w:type="dxa"/>
            <w:tcBorders>
              <w:top w:val="nil"/>
              <w:left w:val="nil"/>
              <w:bottom w:val="nil"/>
              <w:right w:val="nil"/>
            </w:tcBorders>
            <w:shd w:val="clear" w:color="auto" w:fill="FFFFFF" w:themeFill="background1"/>
            <w:noWrap/>
            <w:vAlign w:val="top"/>
          </w:tcPr>
          <w:p w14:paraId="5D6B0FD6">
            <w:pPr>
              <w:snapToGrid w:val="0"/>
              <w:spacing w:before="0" w:beforeLines="0" w:after="0" w:afterLines="0"/>
              <w:ind w:left="0" w:leftChars="0" w:right="0" w:rightChars="0" w:firstLine="0" w:firstLineChars="0"/>
              <w:jc w:val="center"/>
              <w:rPr>
                <w:sz w:val="18"/>
                <w:szCs w:val="18"/>
              </w:rPr>
            </w:pPr>
            <w:r>
              <w:rPr>
                <w:sz w:val="18"/>
                <w:szCs w:val="18"/>
                <w:lang w:bidi="ar"/>
              </w:rPr>
              <w:t>Specificity</w:t>
            </w:r>
          </w:p>
        </w:tc>
        <w:tc>
          <w:tcPr>
            <w:tcW w:w="940" w:type="dxa"/>
            <w:tcBorders>
              <w:top w:val="nil"/>
              <w:left w:val="nil"/>
              <w:bottom w:val="nil"/>
              <w:right w:val="nil"/>
            </w:tcBorders>
            <w:shd w:val="clear" w:color="auto" w:fill="FFFFFF" w:themeFill="background1"/>
            <w:noWrap/>
            <w:vAlign w:val="top"/>
          </w:tcPr>
          <w:p w14:paraId="6F4B7847">
            <w:pPr>
              <w:snapToGrid w:val="0"/>
              <w:spacing w:before="0" w:beforeLines="0" w:after="0" w:afterLines="0"/>
              <w:ind w:left="0" w:leftChars="0" w:right="0" w:rightChars="0" w:firstLine="0" w:firstLineChars="0"/>
              <w:jc w:val="center"/>
              <w:rPr>
                <w:sz w:val="18"/>
                <w:szCs w:val="18"/>
              </w:rPr>
            </w:pPr>
            <w:r>
              <w:rPr>
                <w:sz w:val="18"/>
                <w:szCs w:val="18"/>
                <w:lang w:bidi="ar"/>
              </w:rPr>
              <w:t>97.0%</w:t>
            </w:r>
          </w:p>
        </w:tc>
      </w:tr>
      <w:tr w14:paraId="56F5ABDA">
        <w:tblPrEx>
          <w:shd w:val="clear" w:color="auto" w:fill="FFFFFF" w:themeFill="background1"/>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1758B170">
            <w:pPr>
              <w:snapToGrid w:val="0"/>
              <w:spacing w:before="0" w:beforeLines="0" w:after="0" w:afterLines="0"/>
              <w:ind w:left="0" w:leftChars="0" w:right="0" w:rightChars="0" w:firstLine="0" w:firstLineChars="0"/>
              <w:jc w:val="left"/>
              <w:rPr>
                <w:sz w:val="18"/>
                <w:szCs w:val="18"/>
              </w:rPr>
            </w:pPr>
            <w:r>
              <w:rPr>
                <w:sz w:val="18"/>
                <w:szCs w:val="18"/>
                <w:lang w:bidi="ar"/>
              </w:rPr>
              <w:t>Labeeb 2019</w:t>
            </w:r>
          </w:p>
        </w:tc>
        <w:tc>
          <w:tcPr>
            <w:tcW w:w="1902" w:type="dxa"/>
            <w:tcBorders>
              <w:top w:val="nil"/>
              <w:left w:val="nil"/>
              <w:bottom w:val="nil"/>
              <w:right w:val="nil"/>
            </w:tcBorders>
            <w:shd w:val="clear" w:color="auto" w:fill="FFFFFF" w:themeFill="background1"/>
            <w:noWrap/>
            <w:vAlign w:val="top"/>
          </w:tcPr>
          <w:p w14:paraId="409BD1EE">
            <w:pPr>
              <w:snapToGrid w:val="0"/>
              <w:spacing w:before="0" w:beforeLines="0" w:after="0" w:afterLines="0"/>
              <w:ind w:left="0" w:leftChars="0" w:right="0" w:rightChars="0" w:firstLine="0" w:firstLineChars="0"/>
              <w:jc w:val="left"/>
              <w:rPr>
                <w:sz w:val="18"/>
                <w:szCs w:val="18"/>
              </w:rPr>
            </w:pPr>
            <w:r>
              <w:rPr>
                <w:sz w:val="18"/>
                <w:szCs w:val="18"/>
                <w:lang w:bidi="ar"/>
              </w:rPr>
              <w:t>Carbapenem non-susceptible PA</w:t>
            </w:r>
          </w:p>
        </w:tc>
        <w:tc>
          <w:tcPr>
            <w:tcW w:w="1373" w:type="dxa"/>
            <w:tcBorders>
              <w:top w:val="nil"/>
              <w:left w:val="nil"/>
              <w:bottom w:val="nil"/>
              <w:right w:val="nil"/>
            </w:tcBorders>
            <w:shd w:val="clear" w:color="auto" w:fill="FFFFFF" w:themeFill="background1"/>
            <w:noWrap/>
            <w:vAlign w:val="top"/>
          </w:tcPr>
          <w:p w14:paraId="34D172CD">
            <w:pPr>
              <w:snapToGrid w:val="0"/>
              <w:spacing w:before="0" w:beforeLines="0" w:after="0" w:afterLines="0"/>
              <w:ind w:left="0" w:leftChars="0" w:right="0" w:rightChars="0" w:firstLine="0" w:firstLineChars="0"/>
              <w:jc w:val="center"/>
              <w:rPr>
                <w:sz w:val="18"/>
                <w:szCs w:val="18"/>
              </w:rPr>
            </w:pPr>
            <w:r>
              <w:rPr>
                <w:sz w:val="18"/>
                <w:szCs w:val="18"/>
                <w:lang w:bidi="ar"/>
              </w:rPr>
              <w:t>44</w:t>
            </w:r>
          </w:p>
        </w:tc>
        <w:tc>
          <w:tcPr>
            <w:tcW w:w="2409" w:type="dxa"/>
            <w:tcBorders>
              <w:top w:val="nil"/>
              <w:left w:val="nil"/>
              <w:bottom w:val="nil"/>
              <w:right w:val="nil"/>
            </w:tcBorders>
            <w:shd w:val="clear" w:color="auto" w:fill="FFFFFF" w:themeFill="background1"/>
            <w:noWrap/>
            <w:vAlign w:val="top"/>
          </w:tcPr>
          <w:p w14:paraId="622DE60E">
            <w:pPr>
              <w:snapToGrid w:val="0"/>
              <w:spacing w:before="0" w:beforeLines="0" w:after="0" w:afterLines="0"/>
              <w:ind w:left="0" w:leftChars="0" w:right="0" w:rightChars="0" w:firstLine="0" w:firstLineChars="0"/>
              <w:jc w:val="left"/>
              <w:rPr>
                <w:sz w:val="18"/>
                <w:szCs w:val="18"/>
              </w:rPr>
            </w:pPr>
            <w:r>
              <w:rPr>
                <w:sz w:val="18"/>
                <w:szCs w:val="18"/>
                <w:lang w:bidi="ar"/>
              </w:rPr>
              <w:t>Combined (class D+B) blaOXA-23+ blaNDM</w:t>
            </w:r>
          </w:p>
        </w:tc>
        <w:tc>
          <w:tcPr>
            <w:tcW w:w="3239" w:type="dxa"/>
            <w:tcBorders>
              <w:top w:val="nil"/>
              <w:left w:val="nil"/>
              <w:bottom w:val="nil"/>
              <w:right w:val="nil"/>
            </w:tcBorders>
            <w:shd w:val="clear" w:color="auto" w:fill="FFFFFF" w:themeFill="background1"/>
            <w:vAlign w:val="top"/>
          </w:tcPr>
          <w:p w14:paraId="15DFA126">
            <w:pPr>
              <w:snapToGrid w:val="0"/>
              <w:spacing w:before="0" w:beforeLines="0" w:after="0" w:afterLines="0"/>
              <w:ind w:left="0" w:leftChars="0" w:right="0" w:rightChars="0" w:firstLine="0" w:firstLineChars="0"/>
              <w:jc w:val="left"/>
              <w:rPr>
                <w:sz w:val="18"/>
                <w:szCs w:val="18"/>
              </w:rPr>
            </w:pPr>
            <w:r>
              <w:rPr>
                <w:sz w:val="18"/>
                <w:szCs w:val="18"/>
                <w:lang w:bidi="ar"/>
              </w:rPr>
              <w:t>modified Carpa NP (CNPt-direct)</w:t>
            </w:r>
          </w:p>
        </w:tc>
        <w:tc>
          <w:tcPr>
            <w:tcW w:w="2007" w:type="dxa"/>
            <w:tcBorders>
              <w:top w:val="nil"/>
              <w:left w:val="nil"/>
              <w:bottom w:val="nil"/>
              <w:right w:val="nil"/>
            </w:tcBorders>
            <w:shd w:val="clear" w:color="auto" w:fill="FFFFFF" w:themeFill="background1"/>
            <w:vAlign w:val="top"/>
          </w:tcPr>
          <w:p w14:paraId="3F35DE29">
            <w:pPr>
              <w:snapToGrid w:val="0"/>
              <w:spacing w:before="0" w:beforeLines="0" w:after="0" w:afterLines="0"/>
              <w:ind w:left="0" w:leftChars="0" w:right="0" w:rightChars="0" w:firstLine="0" w:firstLineChars="0"/>
              <w:jc w:val="left"/>
              <w:rPr>
                <w:sz w:val="18"/>
                <w:szCs w:val="18"/>
              </w:rPr>
            </w:pPr>
            <w:r>
              <w:rPr>
                <w:sz w:val="18"/>
                <w:szCs w:val="18"/>
                <w:lang w:bidi="ar"/>
              </w:rPr>
              <w:t>PCR</w:t>
            </w:r>
          </w:p>
        </w:tc>
        <w:tc>
          <w:tcPr>
            <w:tcW w:w="1164" w:type="dxa"/>
            <w:tcBorders>
              <w:top w:val="nil"/>
              <w:left w:val="nil"/>
              <w:bottom w:val="nil"/>
              <w:right w:val="nil"/>
            </w:tcBorders>
            <w:shd w:val="clear" w:color="auto" w:fill="FFFFFF" w:themeFill="background1"/>
            <w:noWrap/>
            <w:vAlign w:val="top"/>
          </w:tcPr>
          <w:p w14:paraId="10989CF2">
            <w:pPr>
              <w:snapToGrid w:val="0"/>
              <w:spacing w:before="0" w:beforeLines="0" w:after="0" w:afterLines="0"/>
              <w:ind w:left="0" w:leftChars="0" w:right="0" w:rightChars="0" w:firstLine="0" w:firstLineChars="0"/>
              <w:jc w:val="center"/>
              <w:rPr>
                <w:sz w:val="18"/>
                <w:szCs w:val="18"/>
              </w:rPr>
            </w:pPr>
            <w:r>
              <w:rPr>
                <w:sz w:val="18"/>
                <w:szCs w:val="18"/>
                <w:lang w:bidi="ar"/>
              </w:rPr>
              <w:t>Sensitivity</w:t>
            </w:r>
          </w:p>
        </w:tc>
        <w:tc>
          <w:tcPr>
            <w:tcW w:w="940" w:type="dxa"/>
            <w:tcBorders>
              <w:top w:val="nil"/>
              <w:left w:val="nil"/>
              <w:bottom w:val="nil"/>
              <w:right w:val="nil"/>
            </w:tcBorders>
            <w:shd w:val="clear" w:color="auto" w:fill="FFFFFF" w:themeFill="background1"/>
            <w:noWrap/>
            <w:vAlign w:val="top"/>
          </w:tcPr>
          <w:p w14:paraId="49C99F6B">
            <w:pPr>
              <w:snapToGrid w:val="0"/>
              <w:spacing w:before="0" w:beforeLines="0" w:after="0" w:afterLines="0"/>
              <w:ind w:left="0" w:leftChars="0" w:right="0" w:rightChars="0" w:firstLine="0" w:firstLineChars="0"/>
              <w:jc w:val="center"/>
              <w:rPr>
                <w:sz w:val="18"/>
                <w:szCs w:val="18"/>
              </w:rPr>
            </w:pPr>
            <w:r>
              <w:rPr>
                <w:sz w:val="18"/>
                <w:szCs w:val="18"/>
                <w:lang w:bidi="ar"/>
              </w:rPr>
              <w:t>100.0%</w:t>
            </w:r>
          </w:p>
        </w:tc>
      </w:tr>
      <w:tr w14:paraId="78FA5356">
        <w:tblPrEx>
          <w:shd w:val="clear" w:color="auto" w:fill="FFFFFF" w:themeFill="background1"/>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29CEBE30">
            <w:pPr>
              <w:snapToGrid w:val="0"/>
              <w:spacing w:before="0" w:beforeLines="0" w:after="0" w:afterLines="0"/>
              <w:ind w:left="0" w:leftChars="0" w:right="0" w:rightChars="0" w:firstLine="0" w:firstLineChars="0"/>
              <w:jc w:val="left"/>
              <w:rPr>
                <w:sz w:val="18"/>
                <w:szCs w:val="18"/>
              </w:rPr>
            </w:pPr>
            <w:r>
              <w:rPr>
                <w:sz w:val="18"/>
                <w:szCs w:val="18"/>
                <w:lang w:bidi="ar"/>
              </w:rPr>
              <w:t>Labeeb 2019</w:t>
            </w:r>
          </w:p>
        </w:tc>
        <w:tc>
          <w:tcPr>
            <w:tcW w:w="1902" w:type="dxa"/>
            <w:tcBorders>
              <w:top w:val="nil"/>
              <w:left w:val="nil"/>
              <w:bottom w:val="nil"/>
              <w:right w:val="nil"/>
            </w:tcBorders>
            <w:shd w:val="clear" w:color="auto" w:fill="FFFFFF" w:themeFill="background1"/>
            <w:noWrap/>
            <w:vAlign w:val="top"/>
          </w:tcPr>
          <w:p w14:paraId="7B62F1CE">
            <w:pPr>
              <w:snapToGrid w:val="0"/>
              <w:spacing w:before="0" w:beforeLines="0" w:after="0" w:afterLines="0"/>
              <w:ind w:left="0" w:leftChars="0" w:right="0" w:rightChars="0" w:firstLine="0" w:firstLineChars="0"/>
              <w:jc w:val="left"/>
              <w:rPr>
                <w:sz w:val="18"/>
                <w:szCs w:val="18"/>
              </w:rPr>
            </w:pPr>
            <w:r>
              <w:rPr>
                <w:sz w:val="18"/>
                <w:szCs w:val="18"/>
                <w:lang w:bidi="ar"/>
              </w:rPr>
              <w:t>Carbapenem non-susceptible PA</w:t>
            </w:r>
          </w:p>
        </w:tc>
        <w:tc>
          <w:tcPr>
            <w:tcW w:w="1373" w:type="dxa"/>
            <w:tcBorders>
              <w:top w:val="nil"/>
              <w:left w:val="nil"/>
              <w:bottom w:val="nil"/>
              <w:right w:val="nil"/>
            </w:tcBorders>
            <w:shd w:val="clear" w:color="auto" w:fill="FFFFFF" w:themeFill="background1"/>
            <w:noWrap/>
            <w:vAlign w:val="top"/>
          </w:tcPr>
          <w:p w14:paraId="1DE358C9">
            <w:pPr>
              <w:snapToGrid w:val="0"/>
              <w:spacing w:before="0" w:beforeLines="0" w:after="0" w:afterLines="0"/>
              <w:ind w:left="0" w:leftChars="0" w:right="0" w:rightChars="0" w:firstLine="0" w:firstLineChars="0"/>
              <w:jc w:val="center"/>
              <w:rPr>
                <w:sz w:val="18"/>
                <w:szCs w:val="18"/>
              </w:rPr>
            </w:pPr>
            <w:r>
              <w:rPr>
                <w:sz w:val="18"/>
                <w:szCs w:val="18"/>
                <w:lang w:bidi="ar"/>
              </w:rPr>
              <w:t>44</w:t>
            </w:r>
          </w:p>
        </w:tc>
        <w:tc>
          <w:tcPr>
            <w:tcW w:w="2409" w:type="dxa"/>
            <w:tcBorders>
              <w:top w:val="nil"/>
              <w:left w:val="nil"/>
              <w:bottom w:val="nil"/>
              <w:right w:val="nil"/>
            </w:tcBorders>
            <w:shd w:val="clear" w:color="auto" w:fill="FFFFFF" w:themeFill="background1"/>
            <w:noWrap/>
            <w:vAlign w:val="top"/>
          </w:tcPr>
          <w:p w14:paraId="35D1CEB1">
            <w:pPr>
              <w:snapToGrid w:val="0"/>
              <w:spacing w:before="0" w:beforeLines="0" w:after="0" w:afterLines="0"/>
              <w:ind w:left="0" w:leftChars="0" w:right="0" w:rightChars="0" w:firstLine="0" w:firstLineChars="0"/>
              <w:jc w:val="left"/>
              <w:rPr>
                <w:sz w:val="18"/>
                <w:szCs w:val="18"/>
              </w:rPr>
            </w:pPr>
            <w:r>
              <w:rPr>
                <w:sz w:val="18"/>
                <w:szCs w:val="18"/>
                <w:lang w:bidi="ar"/>
              </w:rPr>
              <w:t>Combined (class D+B) blaOXA-23+ blaNDM</w:t>
            </w:r>
          </w:p>
        </w:tc>
        <w:tc>
          <w:tcPr>
            <w:tcW w:w="3239" w:type="dxa"/>
            <w:tcBorders>
              <w:top w:val="nil"/>
              <w:left w:val="nil"/>
              <w:bottom w:val="nil"/>
              <w:right w:val="nil"/>
            </w:tcBorders>
            <w:shd w:val="clear" w:color="auto" w:fill="FFFFFF" w:themeFill="background1"/>
            <w:vAlign w:val="top"/>
          </w:tcPr>
          <w:p w14:paraId="4CF33491">
            <w:pPr>
              <w:snapToGrid w:val="0"/>
              <w:spacing w:before="0" w:beforeLines="0" w:after="0" w:afterLines="0"/>
              <w:ind w:left="0" w:leftChars="0" w:right="0" w:rightChars="0" w:firstLine="0" w:firstLineChars="0"/>
              <w:jc w:val="left"/>
              <w:rPr>
                <w:sz w:val="18"/>
                <w:szCs w:val="18"/>
              </w:rPr>
            </w:pPr>
            <w:r>
              <w:rPr>
                <w:sz w:val="18"/>
                <w:szCs w:val="18"/>
                <w:lang w:bidi="ar"/>
              </w:rPr>
              <w:t>modified Carpa NP (CNPt-direct)</w:t>
            </w:r>
          </w:p>
        </w:tc>
        <w:tc>
          <w:tcPr>
            <w:tcW w:w="2007" w:type="dxa"/>
            <w:tcBorders>
              <w:top w:val="nil"/>
              <w:left w:val="nil"/>
              <w:bottom w:val="nil"/>
              <w:right w:val="nil"/>
            </w:tcBorders>
            <w:shd w:val="clear" w:color="auto" w:fill="FFFFFF" w:themeFill="background1"/>
            <w:vAlign w:val="top"/>
          </w:tcPr>
          <w:p w14:paraId="29347778">
            <w:pPr>
              <w:snapToGrid w:val="0"/>
              <w:spacing w:before="0" w:beforeLines="0" w:after="0" w:afterLines="0"/>
              <w:ind w:left="0" w:leftChars="0" w:right="0" w:rightChars="0" w:firstLine="0" w:firstLineChars="0"/>
              <w:jc w:val="left"/>
              <w:rPr>
                <w:sz w:val="18"/>
                <w:szCs w:val="18"/>
              </w:rPr>
            </w:pPr>
            <w:r>
              <w:rPr>
                <w:sz w:val="18"/>
                <w:szCs w:val="18"/>
                <w:lang w:bidi="ar"/>
              </w:rPr>
              <w:t>PCR</w:t>
            </w:r>
          </w:p>
        </w:tc>
        <w:tc>
          <w:tcPr>
            <w:tcW w:w="1164" w:type="dxa"/>
            <w:tcBorders>
              <w:top w:val="nil"/>
              <w:left w:val="nil"/>
              <w:bottom w:val="nil"/>
              <w:right w:val="nil"/>
            </w:tcBorders>
            <w:shd w:val="clear" w:color="auto" w:fill="FFFFFF" w:themeFill="background1"/>
            <w:noWrap/>
            <w:vAlign w:val="top"/>
          </w:tcPr>
          <w:p w14:paraId="5CD7F36F">
            <w:pPr>
              <w:snapToGrid w:val="0"/>
              <w:spacing w:before="0" w:beforeLines="0" w:after="0" w:afterLines="0"/>
              <w:ind w:left="0" w:leftChars="0" w:right="0" w:rightChars="0" w:firstLine="0" w:firstLineChars="0"/>
              <w:jc w:val="center"/>
              <w:rPr>
                <w:sz w:val="18"/>
                <w:szCs w:val="18"/>
              </w:rPr>
            </w:pPr>
            <w:r>
              <w:rPr>
                <w:sz w:val="18"/>
                <w:szCs w:val="18"/>
                <w:lang w:bidi="ar"/>
              </w:rPr>
              <w:t>Specificity</w:t>
            </w:r>
          </w:p>
        </w:tc>
        <w:tc>
          <w:tcPr>
            <w:tcW w:w="940" w:type="dxa"/>
            <w:tcBorders>
              <w:top w:val="nil"/>
              <w:left w:val="nil"/>
              <w:bottom w:val="nil"/>
              <w:right w:val="nil"/>
            </w:tcBorders>
            <w:shd w:val="clear" w:color="auto" w:fill="FFFFFF" w:themeFill="background1"/>
            <w:noWrap/>
            <w:vAlign w:val="top"/>
          </w:tcPr>
          <w:p w14:paraId="63A2D60B">
            <w:pPr>
              <w:snapToGrid w:val="0"/>
              <w:spacing w:before="0" w:beforeLines="0" w:after="0" w:afterLines="0"/>
              <w:ind w:left="0" w:leftChars="0" w:right="0" w:rightChars="0" w:firstLine="0" w:firstLineChars="0"/>
              <w:jc w:val="center"/>
              <w:rPr>
                <w:sz w:val="18"/>
                <w:szCs w:val="18"/>
              </w:rPr>
            </w:pPr>
            <w:r>
              <w:rPr>
                <w:sz w:val="18"/>
                <w:szCs w:val="18"/>
                <w:lang w:bidi="ar"/>
              </w:rPr>
              <w:t>89.2%</w:t>
            </w:r>
          </w:p>
        </w:tc>
      </w:tr>
      <w:tr w14:paraId="02317F8A">
        <w:tblPrEx>
          <w:shd w:val="clear" w:color="auto" w:fill="FFFFFF" w:themeFill="background1"/>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365C074C">
            <w:pPr>
              <w:snapToGrid w:val="0"/>
              <w:spacing w:before="0" w:beforeLines="0" w:after="0" w:afterLines="0"/>
              <w:ind w:left="0" w:leftChars="0" w:right="0" w:rightChars="0" w:firstLine="0" w:firstLineChars="0"/>
              <w:jc w:val="left"/>
              <w:rPr>
                <w:sz w:val="18"/>
                <w:szCs w:val="18"/>
              </w:rPr>
            </w:pPr>
            <w:r>
              <w:rPr>
                <w:sz w:val="18"/>
                <w:szCs w:val="18"/>
                <w:lang w:bidi="ar"/>
              </w:rPr>
              <w:t>Heinrichs 2015</w:t>
            </w:r>
          </w:p>
        </w:tc>
        <w:tc>
          <w:tcPr>
            <w:tcW w:w="1902" w:type="dxa"/>
            <w:tcBorders>
              <w:top w:val="nil"/>
              <w:left w:val="nil"/>
              <w:bottom w:val="nil"/>
              <w:right w:val="nil"/>
            </w:tcBorders>
            <w:shd w:val="clear" w:color="auto" w:fill="FFFFFF" w:themeFill="background1"/>
            <w:noWrap/>
            <w:vAlign w:val="top"/>
          </w:tcPr>
          <w:p w14:paraId="0390CE99">
            <w:pPr>
              <w:snapToGrid w:val="0"/>
              <w:spacing w:before="0" w:beforeLines="0" w:after="0" w:afterLines="0"/>
              <w:ind w:left="0" w:leftChars="0" w:right="0" w:rightChars="0" w:firstLine="0" w:firstLineChars="0"/>
              <w:jc w:val="left"/>
              <w:rPr>
                <w:sz w:val="18"/>
                <w:szCs w:val="18"/>
              </w:rPr>
            </w:pPr>
            <w:r>
              <w:rPr>
                <w:sz w:val="18"/>
                <w:szCs w:val="18"/>
                <w:lang w:bidi="ar"/>
              </w:rPr>
              <w:t>Imienem non-susceptible P. aeruginosa</w:t>
            </w:r>
          </w:p>
        </w:tc>
        <w:tc>
          <w:tcPr>
            <w:tcW w:w="1373" w:type="dxa"/>
            <w:tcBorders>
              <w:top w:val="nil"/>
              <w:left w:val="nil"/>
              <w:bottom w:val="nil"/>
              <w:right w:val="nil"/>
            </w:tcBorders>
            <w:shd w:val="clear" w:color="auto" w:fill="FFFFFF" w:themeFill="background1"/>
            <w:noWrap/>
            <w:vAlign w:val="top"/>
          </w:tcPr>
          <w:p w14:paraId="65526AD8">
            <w:pPr>
              <w:snapToGrid w:val="0"/>
              <w:spacing w:before="0" w:beforeLines="0" w:after="0" w:afterLines="0"/>
              <w:ind w:left="0" w:leftChars="0" w:right="0" w:rightChars="0" w:firstLine="0" w:firstLineChars="0"/>
              <w:jc w:val="center"/>
              <w:rPr>
                <w:sz w:val="18"/>
                <w:szCs w:val="18"/>
              </w:rPr>
            </w:pPr>
            <w:r>
              <w:rPr>
                <w:sz w:val="18"/>
                <w:szCs w:val="18"/>
                <w:lang w:bidi="ar"/>
              </w:rPr>
              <w:t>188</w:t>
            </w:r>
          </w:p>
        </w:tc>
        <w:tc>
          <w:tcPr>
            <w:tcW w:w="2409" w:type="dxa"/>
            <w:tcBorders>
              <w:top w:val="nil"/>
              <w:left w:val="nil"/>
              <w:bottom w:val="nil"/>
              <w:right w:val="nil"/>
            </w:tcBorders>
            <w:shd w:val="clear" w:color="auto" w:fill="FFFFFF" w:themeFill="background1"/>
            <w:noWrap/>
            <w:vAlign w:val="top"/>
          </w:tcPr>
          <w:p w14:paraId="25D9C134">
            <w:pPr>
              <w:snapToGrid w:val="0"/>
              <w:spacing w:before="0" w:beforeLines="0" w:after="0" w:afterLines="0"/>
              <w:ind w:left="0" w:leftChars="0" w:right="0" w:rightChars="0" w:firstLine="0" w:firstLineChars="0"/>
              <w:jc w:val="left"/>
              <w:rPr>
                <w:sz w:val="18"/>
                <w:szCs w:val="18"/>
              </w:rPr>
            </w:pPr>
            <w:r>
              <w:rPr>
                <w:sz w:val="18"/>
                <w:szCs w:val="18"/>
                <w:lang w:bidi="ar"/>
              </w:rPr>
              <w:t>Carbapenemase</w:t>
            </w:r>
          </w:p>
        </w:tc>
        <w:tc>
          <w:tcPr>
            <w:tcW w:w="3239" w:type="dxa"/>
            <w:tcBorders>
              <w:top w:val="nil"/>
              <w:left w:val="nil"/>
              <w:bottom w:val="nil"/>
              <w:right w:val="nil"/>
            </w:tcBorders>
            <w:shd w:val="clear" w:color="auto" w:fill="FFFFFF" w:themeFill="background1"/>
            <w:vAlign w:val="top"/>
          </w:tcPr>
          <w:p w14:paraId="2DD5AE79">
            <w:pPr>
              <w:snapToGrid w:val="0"/>
              <w:spacing w:before="0" w:beforeLines="0" w:after="0" w:afterLines="0"/>
              <w:ind w:left="0" w:leftChars="0" w:right="0" w:rightChars="0" w:firstLine="0" w:firstLineChars="0"/>
              <w:jc w:val="left"/>
              <w:rPr>
                <w:sz w:val="18"/>
                <w:szCs w:val="18"/>
              </w:rPr>
            </w:pPr>
            <w:r>
              <w:rPr>
                <w:sz w:val="18"/>
                <w:szCs w:val="18"/>
                <w:lang w:bidi="ar"/>
              </w:rPr>
              <w:t>Combined disk tests (CDT) Imipenem 10 μg±cloxacillin 4,000 μg, pos ≤5 mm</w:t>
            </w:r>
          </w:p>
        </w:tc>
        <w:tc>
          <w:tcPr>
            <w:tcW w:w="2007" w:type="dxa"/>
            <w:tcBorders>
              <w:top w:val="nil"/>
              <w:left w:val="nil"/>
              <w:bottom w:val="nil"/>
              <w:right w:val="nil"/>
            </w:tcBorders>
            <w:shd w:val="clear" w:color="auto" w:fill="FFFFFF" w:themeFill="background1"/>
            <w:vAlign w:val="top"/>
          </w:tcPr>
          <w:p w14:paraId="799335D7">
            <w:pPr>
              <w:snapToGrid w:val="0"/>
              <w:spacing w:before="0" w:beforeLines="0" w:after="0" w:afterLines="0"/>
              <w:ind w:left="0" w:leftChars="0" w:right="0" w:rightChars="0" w:firstLine="0" w:firstLineChars="0"/>
              <w:jc w:val="left"/>
              <w:rPr>
                <w:sz w:val="18"/>
                <w:szCs w:val="18"/>
              </w:rPr>
            </w:pPr>
            <w:r>
              <w:rPr>
                <w:sz w:val="18"/>
                <w:szCs w:val="18"/>
                <w:lang w:bidi="ar"/>
              </w:rPr>
              <w:t>PCR</w:t>
            </w:r>
          </w:p>
        </w:tc>
        <w:tc>
          <w:tcPr>
            <w:tcW w:w="1164" w:type="dxa"/>
            <w:tcBorders>
              <w:top w:val="nil"/>
              <w:left w:val="nil"/>
              <w:bottom w:val="nil"/>
              <w:right w:val="nil"/>
            </w:tcBorders>
            <w:shd w:val="clear" w:color="auto" w:fill="FFFFFF" w:themeFill="background1"/>
            <w:noWrap/>
            <w:vAlign w:val="top"/>
          </w:tcPr>
          <w:p w14:paraId="1F8569CD">
            <w:pPr>
              <w:snapToGrid w:val="0"/>
              <w:spacing w:before="0" w:beforeLines="0" w:after="0" w:afterLines="0"/>
              <w:ind w:left="0" w:leftChars="0" w:right="0" w:rightChars="0" w:firstLine="0" w:firstLineChars="0"/>
              <w:jc w:val="center"/>
              <w:rPr>
                <w:sz w:val="18"/>
                <w:szCs w:val="18"/>
              </w:rPr>
            </w:pPr>
            <w:r>
              <w:rPr>
                <w:sz w:val="18"/>
                <w:szCs w:val="18"/>
                <w:lang w:bidi="ar"/>
              </w:rPr>
              <w:t>Sensitivity</w:t>
            </w:r>
          </w:p>
        </w:tc>
        <w:tc>
          <w:tcPr>
            <w:tcW w:w="940" w:type="dxa"/>
            <w:tcBorders>
              <w:top w:val="nil"/>
              <w:left w:val="nil"/>
              <w:bottom w:val="nil"/>
              <w:right w:val="nil"/>
            </w:tcBorders>
            <w:shd w:val="clear" w:color="auto" w:fill="FFFFFF" w:themeFill="background1"/>
            <w:noWrap/>
            <w:vAlign w:val="top"/>
          </w:tcPr>
          <w:p w14:paraId="5C389824">
            <w:pPr>
              <w:snapToGrid w:val="0"/>
              <w:spacing w:before="0" w:beforeLines="0" w:after="0" w:afterLines="0"/>
              <w:ind w:left="0" w:leftChars="0" w:right="0" w:rightChars="0" w:firstLine="0" w:firstLineChars="0"/>
              <w:jc w:val="center"/>
              <w:rPr>
                <w:sz w:val="18"/>
                <w:szCs w:val="18"/>
              </w:rPr>
            </w:pPr>
            <w:r>
              <w:rPr>
                <w:sz w:val="18"/>
                <w:szCs w:val="18"/>
                <w:lang w:bidi="ar"/>
              </w:rPr>
              <w:t>97.0%</w:t>
            </w:r>
          </w:p>
        </w:tc>
      </w:tr>
      <w:tr w14:paraId="72EC2737">
        <w:tblPrEx>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3FF6782C">
            <w:pPr>
              <w:snapToGrid w:val="0"/>
              <w:spacing w:before="0" w:beforeLines="0" w:after="0" w:afterLines="0"/>
              <w:ind w:left="0" w:leftChars="0" w:right="0" w:rightChars="0" w:firstLine="0" w:firstLineChars="0"/>
              <w:jc w:val="left"/>
              <w:rPr>
                <w:sz w:val="18"/>
                <w:szCs w:val="18"/>
              </w:rPr>
            </w:pPr>
            <w:r>
              <w:rPr>
                <w:sz w:val="18"/>
                <w:szCs w:val="18"/>
                <w:lang w:bidi="ar"/>
              </w:rPr>
              <w:t>Heinrichs 2015</w:t>
            </w:r>
          </w:p>
        </w:tc>
        <w:tc>
          <w:tcPr>
            <w:tcW w:w="1902" w:type="dxa"/>
            <w:tcBorders>
              <w:top w:val="nil"/>
              <w:left w:val="nil"/>
              <w:bottom w:val="nil"/>
              <w:right w:val="nil"/>
            </w:tcBorders>
            <w:shd w:val="clear" w:color="auto" w:fill="FFFFFF" w:themeFill="background1"/>
            <w:noWrap/>
            <w:vAlign w:val="top"/>
          </w:tcPr>
          <w:p w14:paraId="6D6CFBD0">
            <w:pPr>
              <w:snapToGrid w:val="0"/>
              <w:spacing w:before="0" w:beforeLines="0" w:after="0" w:afterLines="0"/>
              <w:ind w:left="0" w:leftChars="0" w:right="0" w:rightChars="0" w:firstLine="0" w:firstLineChars="0"/>
              <w:jc w:val="left"/>
              <w:rPr>
                <w:sz w:val="18"/>
                <w:szCs w:val="18"/>
              </w:rPr>
            </w:pPr>
            <w:r>
              <w:rPr>
                <w:sz w:val="18"/>
                <w:szCs w:val="18"/>
                <w:lang w:bidi="ar"/>
              </w:rPr>
              <w:t>Imienem non-susceptible P. aeruginosa</w:t>
            </w:r>
          </w:p>
        </w:tc>
        <w:tc>
          <w:tcPr>
            <w:tcW w:w="1373" w:type="dxa"/>
            <w:tcBorders>
              <w:top w:val="nil"/>
              <w:left w:val="nil"/>
              <w:bottom w:val="nil"/>
              <w:right w:val="nil"/>
            </w:tcBorders>
            <w:shd w:val="clear" w:color="auto" w:fill="FFFFFF" w:themeFill="background1"/>
            <w:noWrap/>
            <w:vAlign w:val="top"/>
          </w:tcPr>
          <w:p w14:paraId="09054484">
            <w:pPr>
              <w:snapToGrid w:val="0"/>
              <w:spacing w:before="0" w:beforeLines="0" w:after="0" w:afterLines="0"/>
              <w:ind w:left="0" w:leftChars="0" w:right="0" w:rightChars="0" w:firstLine="0" w:firstLineChars="0"/>
              <w:jc w:val="center"/>
              <w:rPr>
                <w:sz w:val="18"/>
                <w:szCs w:val="18"/>
              </w:rPr>
            </w:pPr>
            <w:r>
              <w:rPr>
                <w:sz w:val="18"/>
                <w:szCs w:val="18"/>
                <w:lang w:bidi="ar"/>
              </w:rPr>
              <w:t>188</w:t>
            </w:r>
          </w:p>
        </w:tc>
        <w:tc>
          <w:tcPr>
            <w:tcW w:w="2409" w:type="dxa"/>
            <w:tcBorders>
              <w:top w:val="nil"/>
              <w:left w:val="nil"/>
              <w:bottom w:val="nil"/>
              <w:right w:val="nil"/>
            </w:tcBorders>
            <w:shd w:val="clear" w:color="auto" w:fill="FFFFFF" w:themeFill="background1"/>
            <w:noWrap/>
            <w:vAlign w:val="top"/>
          </w:tcPr>
          <w:p w14:paraId="2A222970">
            <w:pPr>
              <w:snapToGrid w:val="0"/>
              <w:spacing w:before="0" w:beforeLines="0" w:after="0" w:afterLines="0"/>
              <w:ind w:left="0" w:leftChars="0" w:right="0" w:rightChars="0" w:firstLine="0" w:firstLineChars="0"/>
              <w:jc w:val="left"/>
              <w:rPr>
                <w:sz w:val="18"/>
                <w:szCs w:val="18"/>
              </w:rPr>
            </w:pPr>
            <w:r>
              <w:rPr>
                <w:sz w:val="18"/>
                <w:szCs w:val="18"/>
                <w:lang w:bidi="ar"/>
              </w:rPr>
              <w:t>Carbapenemase</w:t>
            </w:r>
          </w:p>
        </w:tc>
        <w:tc>
          <w:tcPr>
            <w:tcW w:w="3239" w:type="dxa"/>
            <w:tcBorders>
              <w:top w:val="nil"/>
              <w:left w:val="nil"/>
              <w:bottom w:val="nil"/>
              <w:right w:val="nil"/>
            </w:tcBorders>
            <w:shd w:val="clear" w:color="auto" w:fill="FFFFFF" w:themeFill="background1"/>
            <w:vAlign w:val="top"/>
          </w:tcPr>
          <w:p w14:paraId="7B9C6AFA">
            <w:pPr>
              <w:snapToGrid w:val="0"/>
              <w:spacing w:before="0" w:beforeLines="0" w:after="0" w:afterLines="0"/>
              <w:ind w:left="0" w:leftChars="0" w:right="0" w:rightChars="0" w:firstLine="0" w:firstLineChars="0"/>
              <w:jc w:val="left"/>
              <w:rPr>
                <w:sz w:val="18"/>
                <w:szCs w:val="18"/>
              </w:rPr>
            </w:pPr>
            <w:r>
              <w:rPr>
                <w:sz w:val="18"/>
                <w:szCs w:val="18"/>
                <w:lang w:bidi="ar"/>
              </w:rPr>
              <w:t>Combined disk tests (CDT) Imipenem 10 μg±cloxacillin 4,000 μg, pos ≤5 mm</w:t>
            </w:r>
          </w:p>
        </w:tc>
        <w:tc>
          <w:tcPr>
            <w:tcW w:w="2007" w:type="dxa"/>
            <w:tcBorders>
              <w:top w:val="nil"/>
              <w:left w:val="nil"/>
              <w:bottom w:val="nil"/>
              <w:right w:val="nil"/>
            </w:tcBorders>
            <w:shd w:val="clear" w:color="auto" w:fill="FFFFFF" w:themeFill="background1"/>
            <w:vAlign w:val="top"/>
          </w:tcPr>
          <w:p w14:paraId="3AC0E8FD">
            <w:pPr>
              <w:snapToGrid w:val="0"/>
              <w:spacing w:before="0" w:beforeLines="0" w:after="0" w:afterLines="0"/>
              <w:ind w:left="0" w:leftChars="0" w:right="0" w:rightChars="0" w:firstLine="0" w:firstLineChars="0"/>
              <w:jc w:val="left"/>
              <w:rPr>
                <w:sz w:val="18"/>
                <w:szCs w:val="18"/>
              </w:rPr>
            </w:pPr>
            <w:r>
              <w:rPr>
                <w:sz w:val="18"/>
                <w:szCs w:val="18"/>
                <w:lang w:bidi="ar"/>
              </w:rPr>
              <w:t>PCR</w:t>
            </w:r>
          </w:p>
        </w:tc>
        <w:tc>
          <w:tcPr>
            <w:tcW w:w="1164" w:type="dxa"/>
            <w:tcBorders>
              <w:top w:val="nil"/>
              <w:left w:val="nil"/>
              <w:bottom w:val="nil"/>
              <w:right w:val="nil"/>
            </w:tcBorders>
            <w:shd w:val="clear" w:color="auto" w:fill="FFFFFF" w:themeFill="background1"/>
            <w:noWrap/>
            <w:vAlign w:val="top"/>
          </w:tcPr>
          <w:p w14:paraId="15B7089B">
            <w:pPr>
              <w:snapToGrid w:val="0"/>
              <w:spacing w:before="0" w:beforeLines="0" w:after="0" w:afterLines="0"/>
              <w:ind w:left="0" w:leftChars="0" w:right="0" w:rightChars="0" w:firstLine="0" w:firstLineChars="0"/>
              <w:jc w:val="center"/>
              <w:rPr>
                <w:sz w:val="18"/>
                <w:szCs w:val="18"/>
              </w:rPr>
            </w:pPr>
            <w:r>
              <w:rPr>
                <w:sz w:val="18"/>
                <w:szCs w:val="18"/>
                <w:lang w:bidi="ar"/>
              </w:rPr>
              <w:t>Specificity</w:t>
            </w:r>
          </w:p>
        </w:tc>
        <w:tc>
          <w:tcPr>
            <w:tcW w:w="940" w:type="dxa"/>
            <w:tcBorders>
              <w:top w:val="nil"/>
              <w:left w:val="nil"/>
              <w:bottom w:val="nil"/>
              <w:right w:val="nil"/>
            </w:tcBorders>
            <w:shd w:val="clear" w:color="auto" w:fill="FFFFFF" w:themeFill="background1"/>
            <w:noWrap/>
            <w:vAlign w:val="top"/>
          </w:tcPr>
          <w:p w14:paraId="29D1DBDB">
            <w:pPr>
              <w:snapToGrid w:val="0"/>
              <w:spacing w:before="0" w:beforeLines="0" w:after="0" w:afterLines="0"/>
              <w:ind w:left="0" w:leftChars="0" w:right="0" w:rightChars="0" w:firstLine="0" w:firstLineChars="0"/>
              <w:jc w:val="center"/>
              <w:rPr>
                <w:sz w:val="18"/>
                <w:szCs w:val="18"/>
              </w:rPr>
            </w:pPr>
            <w:r>
              <w:rPr>
                <w:sz w:val="18"/>
                <w:szCs w:val="18"/>
                <w:lang w:bidi="ar"/>
              </w:rPr>
              <w:t>96.0%</w:t>
            </w:r>
          </w:p>
        </w:tc>
      </w:tr>
      <w:tr w14:paraId="3BA19262">
        <w:tblPrEx>
          <w:shd w:val="clear" w:color="auto" w:fill="FFFFFF" w:themeFill="background1"/>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68A94DD5">
            <w:pPr>
              <w:snapToGrid w:val="0"/>
              <w:spacing w:before="0" w:beforeLines="0" w:after="0" w:afterLines="0"/>
              <w:ind w:left="0" w:leftChars="0" w:right="0" w:rightChars="0" w:firstLine="0" w:firstLineChars="0"/>
              <w:jc w:val="left"/>
              <w:rPr>
                <w:sz w:val="18"/>
                <w:szCs w:val="18"/>
              </w:rPr>
            </w:pPr>
            <w:r>
              <w:rPr>
                <w:sz w:val="18"/>
                <w:szCs w:val="18"/>
                <w:lang w:bidi="ar"/>
              </w:rPr>
              <w:t>Galicia 2009</w:t>
            </w:r>
          </w:p>
        </w:tc>
        <w:tc>
          <w:tcPr>
            <w:tcW w:w="1902" w:type="dxa"/>
            <w:tcBorders>
              <w:top w:val="nil"/>
              <w:left w:val="nil"/>
              <w:bottom w:val="nil"/>
              <w:right w:val="nil"/>
            </w:tcBorders>
            <w:shd w:val="clear" w:color="auto" w:fill="FFFFFF" w:themeFill="background1"/>
            <w:noWrap/>
            <w:vAlign w:val="top"/>
          </w:tcPr>
          <w:p w14:paraId="421BD11A">
            <w:pPr>
              <w:snapToGrid w:val="0"/>
              <w:spacing w:before="0" w:beforeLines="0" w:after="0" w:afterLines="0"/>
              <w:ind w:left="0" w:leftChars="0" w:right="0" w:rightChars="0" w:firstLine="0" w:firstLineChars="0"/>
              <w:jc w:val="left"/>
              <w:rPr>
                <w:sz w:val="18"/>
                <w:szCs w:val="18"/>
              </w:rPr>
            </w:pPr>
            <w:r>
              <w:rPr>
                <w:sz w:val="18"/>
                <w:szCs w:val="18"/>
                <w:lang w:bidi="ar"/>
              </w:rPr>
              <w:t>CRPA</w:t>
            </w:r>
          </w:p>
        </w:tc>
        <w:tc>
          <w:tcPr>
            <w:tcW w:w="1373" w:type="dxa"/>
            <w:tcBorders>
              <w:top w:val="nil"/>
              <w:left w:val="nil"/>
              <w:bottom w:val="nil"/>
              <w:right w:val="nil"/>
            </w:tcBorders>
            <w:shd w:val="clear" w:color="auto" w:fill="FFFFFF" w:themeFill="background1"/>
            <w:noWrap/>
            <w:vAlign w:val="top"/>
          </w:tcPr>
          <w:p w14:paraId="40319B6D">
            <w:pPr>
              <w:snapToGrid w:val="0"/>
              <w:spacing w:before="0" w:beforeLines="0" w:after="0" w:afterLines="0"/>
              <w:ind w:left="0" w:leftChars="0" w:right="0" w:rightChars="0" w:firstLine="0" w:firstLineChars="0"/>
              <w:jc w:val="center"/>
              <w:rPr>
                <w:sz w:val="18"/>
                <w:szCs w:val="18"/>
              </w:rPr>
            </w:pPr>
            <w:r>
              <w:rPr>
                <w:sz w:val="18"/>
                <w:szCs w:val="18"/>
                <w:lang w:bidi="ar"/>
              </w:rPr>
              <w:t>81</w:t>
            </w:r>
          </w:p>
        </w:tc>
        <w:tc>
          <w:tcPr>
            <w:tcW w:w="2409" w:type="dxa"/>
            <w:tcBorders>
              <w:top w:val="nil"/>
              <w:left w:val="nil"/>
              <w:bottom w:val="nil"/>
              <w:right w:val="nil"/>
            </w:tcBorders>
            <w:shd w:val="clear" w:color="auto" w:fill="FFFFFF" w:themeFill="background1"/>
            <w:noWrap/>
            <w:vAlign w:val="top"/>
          </w:tcPr>
          <w:p w14:paraId="4A247B4A">
            <w:pPr>
              <w:snapToGrid w:val="0"/>
              <w:spacing w:before="0" w:beforeLines="0" w:after="0" w:afterLines="0"/>
              <w:ind w:left="0" w:leftChars="0" w:right="0" w:rightChars="0" w:firstLine="0" w:firstLineChars="0"/>
              <w:jc w:val="left"/>
              <w:rPr>
                <w:sz w:val="18"/>
                <w:szCs w:val="18"/>
              </w:rPr>
            </w:pPr>
            <w:r>
              <w:rPr>
                <w:sz w:val="18"/>
                <w:szCs w:val="18"/>
                <w:lang w:bidi="ar"/>
              </w:rPr>
              <w:t>Metallo-β-lactamase</w:t>
            </w:r>
          </w:p>
        </w:tc>
        <w:tc>
          <w:tcPr>
            <w:tcW w:w="3239" w:type="dxa"/>
            <w:tcBorders>
              <w:top w:val="nil"/>
              <w:left w:val="nil"/>
              <w:bottom w:val="nil"/>
              <w:right w:val="nil"/>
            </w:tcBorders>
            <w:shd w:val="clear" w:color="auto" w:fill="FFFFFF" w:themeFill="background1"/>
            <w:vAlign w:val="top"/>
          </w:tcPr>
          <w:p w14:paraId="749AA5CA">
            <w:pPr>
              <w:snapToGrid w:val="0"/>
              <w:spacing w:before="0" w:beforeLines="0" w:after="0" w:afterLines="0"/>
              <w:ind w:left="0" w:leftChars="0" w:right="0" w:rightChars="0" w:firstLine="0" w:firstLineChars="0"/>
              <w:jc w:val="left"/>
              <w:rPr>
                <w:sz w:val="18"/>
                <w:szCs w:val="18"/>
              </w:rPr>
            </w:pPr>
            <w:r>
              <w:rPr>
                <w:sz w:val="18"/>
                <w:szCs w:val="18"/>
                <w:lang w:bidi="ar"/>
              </w:rPr>
              <w:t>MBL E-test</w:t>
            </w:r>
          </w:p>
        </w:tc>
        <w:tc>
          <w:tcPr>
            <w:tcW w:w="2007" w:type="dxa"/>
            <w:tcBorders>
              <w:top w:val="nil"/>
              <w:left w:val="nil"/>
              <w:bottom w:val="nil"/>
              <w:right w:val="nil"/>
            </w:tcBorders>
            <w:shd w:val="clear" w:color="auto" w:fill="FFFFFF" w:themeFill="background1"/>
            <w:vAlign w:val="top"/>
          </w:tcPr>
          <w:p w14:paraId="6BD72367">
            <w:pPr>
              <w:snapToGrid w:val="0"/>
              <w:spacing w:before="0" w:beforeLines="0" w:after="0" w:afterLines="0"/>
              <w:ind w:left="0" w:leftChars="0" w:right="0" w:rightChars="0" w:firstLine="0" w:firstLineChars="0"/>
              <w:jc w:val="left"/>
              <w:rPr>
                <w:sz w:val="18"/>
                <w:szCs w:val="18"/>
              </w:rPr>
            </w:pPr>
            <w:r>
              <w:rPr>
                <w:sz w:val="18"/>
                <w:szCs w:val="18"/>
                <w:lang w:bidi="ar"/>
              </w:rPr>
              <w:t>PCR</w:t>
            </w:r>
          </w:p>
        </w:tc>
        <w:tc>
          <w:tcPr>
            <w:tcW w:w="1164" w:type="dxa"/>
            <w:tcBorders>
              <w:top w:val="nil"/>
              <w:left w:val="nil"/>
              <w:bottom w:val="nil"/>
              <w:right w:val="nil"/>
            </w:tcBorders>
            <w:shd w:val="clear" w:color="auto" w:fill="FFFFFF" w:themeFill="background1"/>
            <w:noWrap/>
            <w:vAlign w:val="top"/>
          </w:tcPr>
          <w:p w14:paraId="37760B59">
            <w:pPr>
              <w:snapToGrid w:val="0"/>
              <w:spacing w:before="0" w:beforeLines="0" w:after="0" w:afterLines="0"/>
              <w:ind w:left="0" w:leftChars="0" w:right="0" w:rightChars="0" w:firstLine="0" w:firstLineChars="0"/>
              <w:jc w:val="center"/>
              <w:rPr>
                <w:sz w:val="18"/>
                <w:szCs w:val="18"/>
              </w:rPr>
            </w:pPr>
            <w:r>
              <w:rPr>
                <w:sz w:val="18"/>
                <w:szCs w:val="18"/>
                <w:lang w:bidi="ar"/>
              </w:rPr>
              <w:t>Sensitivity</w:t>
            </w:r>
          </w:p>
        </w:tc>
        <w:tc>
          <w:tcPr>
            <w:tcW w:w="940" w:type="dxa"/>
            <w:tcBorders>
              <w:top w:val="nil"/>
              <w:left w:val="nil"/>
              <w:bottom w:val="nil"/>
              <w:right w:val="nil"/>
            </w:tcBorders>
            <w:shd w:val="clear" w:color="auto" w:fill="FFFFFF" w:themeFill="background1"/>
            <w:noWrap/>
            <w:vAlign w:val="top"/>
          </w:tcPr>
          <w:p w14:paraId="469E2295">
            <w:pPr>
              <w:snapToGrid w:val="0"/>
              <w:spacing w:before="0" w:beforeLines="0" w:after="0" w:afterLines="0"/>
              <w:ind w:left="0" w:leftChars="0" w:right="0" w:rightChars="0" w:firstLine="0" w:firstLineChars="0"/>
              <w:jc w:val="center"/>
              <w:rPr>
                <w:sz w:val="18"/>
                <w:szCs w:val="18"/>
              </w:rPr>
            </w:pPr>
            <w:r>
              <w:rPr>
                <w:sz w:val="18"/>
                <w:szCs w:val="18"/>
                <w:lang w:bidi="ar"/>
              </w:rPr>
              <w:t>100.0%</w:t>
            </w:r>
          </w:p>
        </w:tc>
      </w:tr>
      <w:tr w14:paraId="36B8FEDA">
        <w:tblPrEx>
          <w:shd w:val="clear" w:color="auto" w:fill="FFFFFF" w:themeFill="background1"/>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407994CA">
            <w:pPr>
              <w:snapToGrid w:val="0"/>
              <w:spacing w:before="0" w:beforeLines="0" w:after="0" w:afterLines="0"/>
              <w:ind w:left="0" w:leftChars="0" w:right="0" w:rightChars="0" w:firstLine="0" w:firstLineChars="0"/>
              <w:jc w:val="left"/>
              <w:rPr>
                <w:sz w:val="18"/>
                <w:szCs w:val="18"/>
              </w:rPr>
            </w:pPr>
            <w:r>
              <w:rPr>
                <w:sz w:val="18"/>
                <w:szCs w:val="18"/>
                <w:lang w:bidi="ar"/>
              </w:rPr>
              <w:t>Galicia 2009</w:t>
            </w:r>
          </w:p>
        </w:tc>
        <w:tc>
          <w:tcPr>
            <w:tcW w:w="1902" w:type="dxa"/>
            <w:tcBorders>
              <w:top w:val="nil"/>
              <w:left w:val="nil"/>
              <w:bottom w:val="nil"/>
              <w:right w:val="nil"/>
            </w:tcBorders>
            <w:shd w:val="clear" w:color="auto" w:fill="FFFFFF" w:themeFill="background1"/>
            <w:noWrap/>
            <w:vAlign w:val="top"/>
          </w:tcPr>
          <w:p w14:paraId="134DE566">
            <w:pPr>
              <w:snapToGrid w:val="0"/>
              <w:spacing w:before="0" w:beforeLines="0" w:after="0" w:afterLines="0"/>
              <w:ind w:left="0" w:leftChars="0" w:right="0" w:rightChars="0" w:firstLine="0" w:firstLineChars="0"/>
              <w:jc w:val="left"/>
              <w:rPr>
                <w:sz w:val="18"/>
                <w:szCs w:val="18"/>
              </w:rPr>
            </w:pPr>
            <w:r>
              <w:rPr>
                <w:sz w:val="18"/>
                <w:szCs w:val="18"/>
                <w:lang w:bidi="ar"/>
              </w:rPr>
              <w:t>CRPA</w:t>
            </w:r>
          </w:p>
        </w:tc>
        <w:tc>
          <w:tcPr>
            <w:tcW w:w="1373" w:type="dxa"/>
            <w:tcBorders>
              <w:top w:val="nil"/>
              <w:left w:val="nil"/>
              <w:bottom w:val="nil"/>
              <w:right w:val="nil"/>
            </w:tcBorders>
            <w:shd w:val="clear" w:color="auto" w:fill="FFFFFF" w:themeFill="background1"/>
            <w:noWrap/>
            <w:vAlign w:val="top"/>
          </w:tcPr>
          <w:p w14:paraId="2E662FA1">
            <w:pPr>
              <w:snapToGrid w:val="0"/>
              <w:spacing w:before="0" w:beforeLines="0" w:after="0" w:afterLines="0"/>
              <w:ind w:left="0" w:leftChars="0" w:right="0" w:rightChars="0" w:firstLine="0" w:firstLineChars="0"/>
              <w:jc w:val="center"/>
              <w:rPr>
                <w:sz w:val="18"/>
                <w:szCs w:val="18"/>
              </w:rPr>
            </w:pPr>
            <w:r>
              <w:rPr>
                <w:sz w:val="18"/>
                <w:szCs w:val="18"/>
                <w:lang w:bidi="ar"/>
              </w:rPr>
              <w:t>81</w:t>
            </w:r>
          </w:p>
        </w:tc>
        <w:tc>
          <w:tcPr>
            <w:tcW w:w="2409" w:type="dxa"/>
            <w:tcBorders>
              <w:top w:val="nil"/>
              <w:left w:val="nil"/>
              <w:bottom w:val="nil"/>
              <w:right w:val="nil"/>
            </w:tcBorders>
            <w:shd w:val="clear" w:color="auto" w:fill="FFFFFF" w:themeFill="background1"/>
            <w:noWrap/>
            <w:vAlign w:val="top"/>
          </w:tcPr>
          <w:p w14:paraId="213E0876">
            <w:pPr>
              <w:snapToGrid w:val="0"/>
              <w:spacing w:before="0" w:beforeLines="0" w:after="0" w:afterLines="0"/>
              <w:ind w:left="0" w:leftChars="0" w:right="0" w:rightChars="0" w:firstLine="0" w:firstLineChars="0"/>
              <w:jc w:val="left"/>
              <w:rPr>
                <w:sz w:val="18"/>
                <w:szCs w:val="18"/>
              </w:rPr>
            </w:pPr>
            <w:r>
              <w:rPr>
                <w:sz w:val="18"/>
                <w:szCs w:val="18"/>
                <w:lang w:bidi="ar"/>
              </w:rPr>
              <w:t>Metallo-β-lactamase</w:t>
            </w:r>
          </w:p>
        </w:tc>
        <w:tc>
          <w:tcPr>
            <w:tcW w:w="3239" w:type="dxa"/>
            <w:tcBorders>
              <w:top w:val="nil"/>
              <w:left w:val="nil"/>
              <w:bottom w:val="nil"/>
              <w:right w:val="nil"/>
            </w:tcBorders>
            <w:shd w:val="clear" w:color="auto" w:fill="FFFFFF" w:themeFill="background1"/>
            <w:vAlign w:val="top"/>
          </w:tcPr>
          <w:p w14:paraId="63D74997">
            <w:pPr>
              <w:snapToGrid w:val="0"/>
              <w:spacing w:before="0" w:beforeLines="0" w:after="0" w:afterLines="0"/>
              <w:ind w:left="0" w:leftChars="0" w:right="0" w:rightChars="0" w:firstLine="0" w:firstLineChars="0"/>
              <w:jc w:val="left"/>
              <w:rPr>
                <w:sz w:val="18"/>
                <w:szCs w:val="18"/>
              </w:rPr>
            </w:pPr>
            <w:r>
              <w:rPr>
                <w:sz w:val="18"/>
                <w:szCs w:val="18"/>
                <w:lang w:bidi="ar"/>
              </w:rPr>
              <w:t>MBL E-test</w:t>
            </w:r>
          </w:p>
        </w:tc>
        <w:tc>
          <w:tcPr>
            <w:tcW w:w="2007" w:type="dxa"/>
            <w:tcBorders>
              <w:top w:val="nil"/>
              <w:left w:val="nil"/>
              <w:bottom w:val="nil"/>
              <w:right w:val="nil"/>
            </w:tcBorders>
            <w:shd w:val="clear" w:color="auto" w:fill="FFFFFF" w:themeFill="background1"/>
            <w:vAlign w:val="top"/>
          </w:tcPr>
          <w:p w14:paraId="552F24EF">
            <w:pPr>
              <w:snapToGrid w:val="0"/>
              <w:spacing w:before="0" w:beforeLines="0" w:after="0" w:afterLines="0"/>
              <w:ind w:left="0" w:leftChars="0" w:right="0" w:rightChars="0" w:firstLine="0" w:firstLineChars="0"/>
              <w:jc w:val="left"/>
              <w:rPr>
                <w:sz w:val="18"/>
                <w:szCs w:val="18"/>
              </w:rPr>
            </w:pPr>
            <w:r>
              <w:rPr>
                <w:sz w:val="18"/>
                <w:szCs w:val="18"/>
                <w:lang w:bidi="ar"/>
              </w:rPr>
              <w:t>PCR</w:t>
            </w:r>
          </w:p>
        </w:tc>
        <w:tc>
          <w:tcPr>
            <w:tcW w:w="1164" w:type="dxa"/>
            <w:tcBorders>
              <w:top w:val="nil"/>
              <w:left w:val="nil"/>
              <w:bottom w:val="nil"/>
              <w:right w:val="nil"/>
            </w:tcBorders>
            <w:shd w:val="clear" w:color="auto" w:fill="FFFFFF" w:themeFill="background1"/>
            <w:noWrap/>
            <w:vAlign w:val="top"/>
          </w:tcPr>
          <w:p w14:paraId="0CA8C110">
            <w:pPr>
              <w:snapToGrid w:val="0"/>
              <w:spacing w:before="0" w:beforeLines="0" w:after="0" w:afterLines="0"/>
              <w:ind w:left="0" w:leftChars="0" w:right="0" w:rightChars="0" w:firstLine="0" w:firstLineChars="0"/>
              <w:jc w:val="center"/>
              <w:rPr>
                <w:sz w:val="18"/>
                <w:szCs w:val="18"/>
              </w:rPr>
            </w:pPr>
            <w:r>
              <w:rPr>
                <w:sz w:val="18"/>
                <w:szCs w:val="18"/>
                <w:lang w:bidi="ar"/>
              </w:rPr>
              <w:t>Specificity</w:t>
            </w:r>
          </w:p>
        </w:tc>
        <w:tc>
          <w:tcPr>
            <w:tcW w:w="940" w:type="dxa"/>
            <w:tcBorders>
              <w:top w:val="nil"/>
              <w:left w:val="nil"/>
              <w:bottom w:val="nil"/>
              <w:right w:val="nil"/>
            </w:tcBorders>
            <w:shd w:val="clear" w:color="auto" w:fill="FFFFFF" w:themeFill="background1"/>
            <w:noWrap/>
            <w:vAlign w:val="top"/>
          </w:tcPr>
          <w:p w14:paraId="41034D4B">
            <w:pPr>
              <w:snapToGrid w:val="0"/>
              <w:spacing w:before="0" w:beforeLines="0" w:after="0" w:afterLines="0"/>
              <w:ind w:left="0" w:leftChars="0" w:right="0" w:rightChars="0" w:firstLine="0" w:firstLineChars="0"/>
              <w:jc w:val="center"/>
              <w:rPr>
                <w:sz w:val="18"/>
                <w:szCs w:val="18"/>
              </w:rPr>
            </w:pPr>
            <w:r>
              <w:rPr>
                <w:sz w:val="18"/>
                <w:szCs w:val="18"/>
                <w:lang w:bidi="ar"/>
              </w:rPr>
              <w:t>100.0%</w:t>
            </w:r>
          </w:p>
        </w:tc>
      </w:tr>
      <w:tr w14:paraId="36619A6F">
        <w:tblPrEx>
          <w:tblCellMar>
            <w:top w:w="0" w:type="dxa"/>
            <w:left w:w="108" w:type="dxa"/>
            <w:bottom w:w="0" w:type="dxa"/>
            <w:right w:w="108" w:type="dxa"/>
          </w:tblCellMar>
        </w:tblPrEx>
        <w:trPr>
          <w:trHeight w:val="0" w:hRule="atLeast"/>
        </w:trPr>
        <w:tc>
          <w:tcPr>
            <w:tcW w:w="1141" w:type="dxa"/>
            <w:tcBorders>
              <w:top w:val="nil"/>
              <w:left w:val="nil"/>
              <w:bottom w:val="nil"/>
              <w:right w:val="nil"/>
            </w:tcBorders>
            <w:shd w:val="clear" w:color="auto" w:fill="FFFFFF" w:themeFill="background1"/>
            <w:noWrap/>
            <w:vAlign w:val="top"/>
          </w:tcPr>
          <w:p w14:paraId="7215CB68">
            <w:pPr>
              <w:snapToGrid w:val="0"/>
              <w:spacing w:before="0" w:beforeLines="0" w:after="0" w:afterLines="0"/>
              <w:ind w:left="0" w:leftChars="0" w:right="0" w:rightChars="0" w:firstLine="0" w:firstLineChars="0"/>
              <w:jc w:val="left"/>
              <w:rPr>
                <w:sz w:val="18"/>
                <w:szCs w:val="18"/>
              </w:rPr>
            </w:pPr>
            <w:r>
              <w:rPr>
                <w:sz w:val="18"/>
                <w:szCs w:val="18"/>
                <w:lang w:bidi="ar"/>
              </w:rPr>
              <w:t>Qu 2009</w:t>
            </w:r>
          </w:p>
        </w:tc>
        <w:tc>
          <w:tcPr>
            <w:tcW w:w="1902" w:type="dxa"/>
            <w:tcBorders>
              <w:top w:val="nil"/>
              <w:left w:val="nil"/>
              <w:bottom w:val="nil"/>
              <w:right w:val="nil"/>
            </w:tcBorders>
            <w:shd w:val="clear" w:color="auto" w:fill="FFFFFF" w:themeFill="background1"/>
            <w:noWrap/>
            <w:vAlign w:val="top"/>
          </w:tcPr>
          <w:p w14:paraId="4929494B">
            <w:pPr>
              <w:snapToGrid w:val="0"/>
              <w:spacing w:before="0" w:beforeLines="0" w:after="0" w:afterLines="0"/>
              <w:ind w:left="0" w:leftChars="0" w:right="0" w:rightChars="0" w:firstLine="0" w:firstLineChars="0"/>
              <w:jc w:val="left"/>
              <w:rPr>
                <w:sz w:val="18"/>
                <w:szCs w:val="18"/>
              </w:rPr>
            </w:pPr>
            <w:r>
              <w:rPr>
                <w:sz w:val="18"/>
                <w:szCs w:val="18"/>
                <w:lang w:bidi="ar"/>
              </w:rPr>
              <w:t>Imienem non-susceptible P. aeruginosa</w:t>
            </w:r>
          </w:p>
        </w:tc>
        <w:tc>
          <w:tcPr>
            <w:tcW w:w="1373" w:type="dxa"/>
            <w:tcBorders>
              <w:top w:val="nil"/>
              <w:left w:val="nil"/>
              <w:bottom w:val="nil"/>
              <w:right w:val="nil"/>
            </w:tcBorders>
            <w:shd w:val="clear" w:color="auto" w:fill="FFFFFF" w:themeFill="background1"/>
            <w:noWrap/>
            <w:vAlign w:val="top"/>
          </w:tcPr>
          <w:p w14:paraId="4FEDAD78">
            <w:pPr>
              <w:snapToGrid w:val="0"/>
              <w:spacing w:before="0" w:beforeLines="0" w:after="0" w:afterLines="0"/>
              <w:ind w:left="0" w:leftChars="0" w:right="0" w:rightChars="0" w:firstLine="0" w:firstLineChars="0"/>
              <w:jc w:val="center"/>
              <w:rPr>
                <w:sz w:val="18"/>
                <w:szCs w:val="18"/>
              </w:rPr>
            </w:pPr>
            <w:r>
              <w:rPr>
                <w:sz w:val="18"/>
                <w:szCs w:val="18"/>
                <w:lang w:bidi="ar"/>
              </w:rPr>
              <w:t>264</w:t>
            </w:r>
          </w:p>
        </w:tc>
        <w:tc>
          <w:tcPr>
            <w:tcW w:w="2409" w:type="dxa"/>
            <w:tcBorders>
              <w:top w:val="nil"/>
              <w:left w:val="nil"/>
              <w:bottom w:val="nil"/>
              <w:right w:val="nil"/>
            </w:tcBorders>
            <w:shd w:val="clear" w:color="auto" w:fill="FFFFFF" w:themeFill="background1"/>
            <w:noWrap/>
            <w:vAlign w:val="top"/>
          </w:tcPr>
          <w:p w14:paraId="6C24ABA8">
            <w:pPr>
              <w:snapToGrid w:val="0"/>
              <w:spacing w:before="0" w:beforeLines="0" w:after="0" w:afterLines="0"/>
              <w:ind w:left="0" w:leftChars="0" w:right="0" w:rightChars="0" w:firstLine="0" w:firstLineChars="0"/>
              <w:jc w:val="left"/>
              <w:rPr>
                <w:sz w:val="18"/>
                <w:szCs w:val="18"/>
              </w:rPr>
            </w:pPr>
            <w:r>
              <w:rPr>
                <w:sz w:val="18"/>
                <w:szCs w:val="18"/>
                <w:lang w:bidi="ar"/>
              </w:rPr>
              <w:t>Metallo-β-lactamase</w:t>
            </w:r>
          </w:p>
        </w:tc>
        <w:tc>
          <w:tcPr>
            <w:tcW w:w="3239" w:type="dxa"/>
            <w:tcBorders>
              <w:top w:val="nil"/>
              <w:left w:val="nil"/>
              <w:bottom w:val="nil"/>
              <w:right w:val="nil"/>
            </w:tcBorders>
            <w:shd w:val="clear" w:color="auto" w:fill="FFFFFF" w:themeFill="background1"/>
            <w:vAlign w:val="top"/>
          </w:tcPr>
          <w:p w14:paraId="55DA4EC8">
            <w:pPr>
              <w:snapToGrid w:val="0"/>
              <w:spacing w:before="0" w:beforeLines="0" w:after="0" w:afterLines="0"/>
              <w:ind w:left="0" w:leftChars="0" w:right="0" w:rightChars="0" w:firstLine="0" w:firstLineChars="0"/>
              <w:jc w:val="left"/>
              <w:rPr>
                <w:sz w:val="18"/>
                <w:szCs w:val="18"/>
              </w:rPr>
            </w:pPr>
            <w:r>
              <w:rPr>
                <w:sz w:val="18"/>
                <w:szCs w:val="18"/>
                <w:lang w:bidi="ar"/>
              </w:rPr>
              <w:t>Combined disk (CD), (IPM-EDTA) 750 μg EDTA, ≥6 mm</w:t>
            </w:r>
          </w:p>
        </w:tc>
        <w:tc>
          <w:tcPr>
            <w:tcW w:w="2007" w:type="dxa"/>
            <w:tcBorders>
              <w:top w:val="nil"/>
              <w:left w:val="nil"/>
              <w:bottom w:val="nil"/>
              <w:right w:val="nil"/>
            </w:tcBorders>
            <w:shd w:val="clear" w:color="auto" w:fill="FFFFFF" w:themeFill="background1"/>
            <w:vAlign w:val="top"/>
          </w:tcPr>
          <w:p w14:paraId="330D2726">
            <w:pPr>
              <w:snapToGrid w:val="0"/>
              <w:spacing w:before="0" w:beforeLines="0" w:after="0" w:afterLines="0"/>
              <w:ind w:left="0" w:leftChars="0" w:right="0" w:rightChars="0" w:firstLine="0" w:firstLineChars="0"/>
              <w:jc w:val="left"/>
              <w:rPr>
                <w:sz w:val="18"/>
                <w:szCs w:val="18"/>
              </w:rPr>
            </w:pPr>
            <w:r>
              <w:rPr>
                <w:sz w:val="18"/>
                <w:szCs w:val="18"/>
                <w:lang w:bidi="ar"/>
              </w:rPr>
              <w:t>PCR</w:t>
            </w:r>
          </w:p>
        </w:tc>
        <w:tc>
          <w:tcPr>
            <w:tcW w:w="1164" w:type="dxa"/>
            <w:tcBorders>
              <w:top w:val="nil"/>
              <w:left w:val="nil"/>
              <w:bottom w:val="nil"/>
              <w:right w:val="nil"/>
            </w:tcBorders>
            <w:shd w:val="clear" w:color="auto" w:fill="FFFFFF" w:themeFill="background1"/>
            <w:noWrap/>
            <w:vAlign w:val="top"/>
          </w:tcPr>
          <w:p w14:paraId="1AA3A424">
            <w:pPr>
              <w:snapToGrid w:val="0"/>
              <w:spacing w:before="0" w:beforeLines="0" w:after="0" w:afterLines="0"/>
              <w:ind w:left="0" w:leftChars="0" w:right="0" w:rightChars="0" w:firstLine="0" w:firstLineChars="0"/>
              <w:jc w:val="center"/>
              <w:rPr>
                <w:sz w:val="18"/>
                <w:szCs w:val="18"/>
              </w:rPr>
            </w:pPr>
            <w:r>
              <w:rPr>
                <w:sz w:val="18"/>
                <w:szCs w:val="18"/>
                <w:lang w:bidi="ar"/>
              </w:rPr>
              <w:t>Sensitivity</w:t>
            </w:r>
          </w:p>
        </w:tc>
        <w:tc>
          <w:tcPr>
            <w:tcW w:w="940" w:type="dxa"/>
            <w:tcBorders>
              <w:top w:val="nil"/>
              <w:left w:val="nil"/>
              <w:bottom w:val="nil"/>
              <w:right w:val="nil"/>
            </w:tcBorders>
            <w:shd w:val="clear" w:color="auto" w:fill="FFFFFF" w:themeFill="background1"/>
            <w:noWrap/>
            <w:vAlign w:val="top"/>
          </w:tcPr>
          <w:p w14:paraId="12DCA98F">
            <w:pPr>
              <w:snapToGrid w:val="0"/>
              <w:spacing w:before="0" w:beforeLines="0" w:after="0" w:afterLines="0"/>
              <w:ind w:left="0" w:leftChars="0" w:right="0" w:rightChars="0" w:firstLine="0" w:firstLineChars="0"/>
              <w:jc w:val="center"/>
              <w:rPr>
                <w:sz w:val="18"/>
                <w:szCs w:val="18"/>
              </w:rPr>
            </w:pPr>
            <w:r>
              <w:rPr>
                <w:sz w:val="18"/>
                <w:szCs w:val="18"/>
                <w:lang w:bidi="ar"/>
              </w:rPr>
              <w:t>100.0%</w:t>
            </w:r>
          </w:p>
        </w:tc>
      </w:tr>
      <w:tr w14:paraId="36420D1C">
        <w:tblPrEx>
          <w:shd w:val="clear" w:color="auto" w:fill="FFFFFF" w:themeFill="background1"/>
          <w:tblCellMar>
            <w:top w:w="0" w:type="dxa"/>
            <w:left w:w="108" w:type="dxa"/>
            <w:bottom w:w="0" w:type="dxa"/>
            <w:right w:w="108" w:type="dxa"/>
          </w:tblCellMar>
        </w:tblPrEx>
        <w:trPr>
          <w:trHeight w:val="90" w:hRule="atLeast"/>
        </w:trPr>
        <w:tc>
          <w:tcPr>
            <w:tcW w:w="1141" w:type="dxa"/>
            <w:tcBorders>
              <w:top w:val="nil"/>
              <w:left w:val="nil"/>
              <w:bottom w:val="single" w:color="auto" w:sz="12" w:space="0"/>
              <w:right w:val="nil"/>
            </w:tcBorders>
            <w:shd w:val="clear" w:color="auto" w:fill="FFFFFF" w:themeFill="background1"/>
            <w:noWrap/>
            <w:vAlign w:val="top"/>
          </w:tcPr>
          <w:p w14:paraId="596E52BD">
            <w:pPr>
              <w:snapToGrid w:val="0"/>
              <w:spacing w:before="0" w:beforeLines="0" w:after="0" w:afterLines="0"/>
              <w:ind w:left="0" w:leftChars="0" w:right="0" w:rightChars="0" w:firstLine="0" w:firstLineChars="0"/>
              <w:jc w:val="left"/>
              <w:rPr>
                <w:sz w:val="18"/>
                <w:szCs w:val="18"/>
              </w:rPr>
            </w:pPr>
            <w:r>
              <w:rPr>
                <w:sz w:val="18"/>
                <w:szCs w:val="18"/>
                <w:lang w:bidi="ar"/>
              </w:rPr>
              <w:t>Qu 2009</w:t>
            </w:r>
          </w:p>
        </w:tc>
        <w:tc>
          <w:tcPr>
            <w:tcW w:w="1902" w:type="dxa"/>
            <w:tcBorders>
              <w:top w:val="nil"/>
              <w:left w:val="nil"/>
              <w:bottom w:val="single" w:color="auto" w:sz="12" w:space="0"/>
              <w:right w:val="nil"/>
            </w:tcBorders>
            <w:shd w:val="clear" w:color="auto" w:fill="FFFFFF" w:themeFill="background1"/>
            <w:noWrap/>
            <w:vAlign w:val="top"/>
          </w:tcPr>
          <w:p w14:paraId="78690243">
            <w:pPr>
              <w:snapToGrid w:val="0"/>
              <w:spacing w:before="0" w:beforeLines="0" w:after="0" w:afterLines="0"/>
              <w:ind w:left="0" w:leftChars="0" w:right="0" w:rightChars="0" w:firstLine="0" w:firstLineChars="0"/>
              <w:jc w:val="left"/>
              <w:rPr>
                <w:sz w:val="18"/>
                <w:szCs w:val="18"/>
              </w:rPr>
            </w:pPr>
            <w:r>
              <w:rPr>
                <w:sz w:val="18"/>
                <w:szCs w:val="18"/>
                <w:lang w:bidi="ar"/>
              </w:rPr>
              <w:t>Imienem non-susceptible P. aeruginosa</w:t>
            </w:r>
          </w:p>
        </w:tc>
        <w:tc>
          <w:tcPr>
            <w:tcW w:w="1373" w:type="dxa"/>
            <w:tcBorders>
              <w:top w:val="nil"/>
              <w:left w:val="nil"/>
              <w:bottom w:val="single" w:color="auto" w:sz="12" w:space="0"/>
              <w:right w:val="nil"/>
            </w:tcBorders>
            <w:shd w:val="clear" w:color="auto" w:fill="FFFFFF" w:themeFill="background1"/>
            <w:noWrap/>
            <w:vAlign w:val="top"/>
          </w:tcPr>
          <w:p w14:paraId="6F88A9DD">
            <w:pPr>
              <w:snapToGrid w:val="0"/>
              <w:spacing w:before="0" w:beforeLines="0" w:after="0" w:afterLines="0"/>
              <w:ind w:left="0" w:leftChars="0" w:right="0" w:rightChars="0" w:firstLine="0" w:firstLineChars="0"/>
              <w:jc w:val="center"/>
              <w:rPr>
                <w:sz w:val="18"/>
                <w:szCs w:val="18"/>
              </w:rPr>
            </w:pPr>
            <w:r>
              <w:rPr>
                <w:sz w:val="18"/>
                <w:szCs w:val="18"/>
                <w:lang w:bidi="ar"/>
              </w:rPr>
              <w:t>264</w:t>
            </w:r>
          </w:p>
        </w:tc>
        <w:tc>
          <w:tcPr>
            <w:tcW w:w="2409" w:type="dxa"/>
            <w:tcBorders>
              <w:top w:val="nil"/>
              <w:left w:val="nil"/>
              <w:bottom w:val="single" w:color="auto" w:sz="12" w:space="0"/>
              <w:right w:val="nil"/>
            </w:tcBorders>
            <w:shd w:val="clear" w:color="auto" w:fill="FFFFFF" w:themeFill="background1"/>
            <w:noWrap/>
            <w:vAlign w:val="top"/>
          </w:tcPr>
          <w:p w14:paraId="68E98848">
            <w:pPr>
              <w:snapToGrid w:val="0"/>
              <w:spacing w:before="0" w:beforeLines="0" w:after="0" w:afterLines="0"/>
              <w:ind w:left="0" w:leftChars="0" w:right="0" w:rightChars="0" w:firstLine="0" w:firstLineChars="0"/>
              <w:jc w:val="left"/>
              <w:rPr>
                <w:sz w:val="18"/>
                <w:szCs w:val="18"/>
              </w:rPr>
            </w:pPr>
            <w:r>
              <w:rPr>
                <w:sz w:val="18"/>
                <w:szCs w:val="18"/>
                <w:lang w:bidi="ar"/>
              </w:rPr>
              <w:t>Metallo-β-lactamase</w:t>
            </w:r>
          </w:p>
        </w:tc>
        <w:tc>
          <w:tcPr>
            <w:tcW w:w="3239" w:type="dxa"/>
            <w:tcBorders>
              <w:top w:val="nil"/>
              <w:left w:val="nil"/>
              <w:bottom w:val="single" w:color="auto" w:sz="12" w:space="0"/>
              <w:right w:val="nil"/>
            </w:tcBorders>
            <w:shd w:val="clear" w:color="auto" w:fill="FFFFFF" w:themeFill="background1"/>
            <w:vAlign w:val="top"/>
          </w:tcPr>
          <w:p w14:paraId="621E1BE1">
            <w:pPr>
              <w:snapToGrid w:val="0"/>
              <w:spacing w:before="0" w:beforeLines="0" w:after="0" w:afterLines="0"/>
              <w:ind w:left="0" w:leftChars="0" w:right="0" w:rightChars="0" w:firstLine="0" w:firstLineChars="0"/>
              <w:jc w:val="left"/>
              <w:rPr>
                <w:sz w:val="18"/>
                <w:szCs w:val="18"/>
              </w:rPr>
            </w:pPr>
            <w:r>
              <w:rPr>
                <w:sz w:val="18"/>
                <w:szCs w:val="18"/>
                <w:lang w:bidi="ar"/>
              </w:rPr>
              <w:t>Combined disk (CD), (IPM-EDTA) 750 μg EDTA, ≥6 mm</w:t>
            </w:r>
          </w:p>
        </w:tc>
        <w:tc>
          <w:tcPr>
            <w:tcW w:w="2007" w:type="dxa"/>
            <w:tcBorders>
              <w:top w:val="nil"/>
              <w:left w:val="nil"/>
              <w:bottom w:val="single" w:color="auto" w:sz="12" w:space="0"/>
              <w:right w:val="nil"/>
            </w:tcBorders>
            <w:shd w:val="clear" w:color="auto" w:fill="FFFFFF" w:themeFill="background1"/>
            <w:vAlign w:val="top"/>
          </w:tcPr>
          <w:p w14:paraId="38206BE4">
            <w:pPr>
              <w:snapToGrid w:val="0"/>
              <w:spacing w:before="0" w:beforeLines="0" w:after="0" w:afterLines="0"/>
              <w:ind w:left="0" w:leftChars="0" w:right="0" w:rightChars="0" w:firstLine="0" w:firstLineChars="0"/>
              <w:jc w:val="left"/>
              <w:rPr>
                <w:sz w:val="18"/>
                <w:szCs w:val="18"/>
              </w:rPr>
            </w:pPr>
            <w:r>
              <w:rPr>
                <w:sz w:val="18"/>
                <w:szCs w:val="18"/>
                <w:lang w:bidi="ar"/>
              </w:rPr>
              <w:t>PCR</w:t>
            </w:r>
          </w:p>
        </w:tc>
        <w:tc>
          <w:tcPr>
            <w:tcW w:w="1164" w:type="dxa"/>
            <w:tcBorders>
              <w:top w:val="nil"/>
              <w:left w:val="nil"/>
              <w:bottom w:val="single" w:color="auto" w:sz="12" w:space="0"/>
              <w:right w:val="nil"/>
            </w:tcBorders>
            <w:shd w:val="clear" w:color="auto" w:fill="FFFFFF" w:themeFill="background1"/>
            <w:noWrap/>
            <w:vAlign w:val="top"/>
          </w:tcPr>
          <w:p w14:paraId="4ED7EBE9">
            <w:pPr>
              <w:snapToGrid w:val="0"/>
              <w:spacing w:before="0" w:beforeLines="0" w:after="0" w:afterLines="0"/>
              <w:ind w:left="0" w:leftChars="0" w:right="0" w:rightChars="0" w:firstLine="0" w:firstLineChars="0"/>
              <w:jc w:val="center"/>
              <w:rPr>
                <w:sz w:val="18"/>
                <w:szCs w:val="18"/>
              </w:rPr>
            </w:pPr>
            <w:r>
              <w:rPr>
                <w:sz w:val="18"/>
                <w:szCs w:val="18"/>
                <w:lang w:bidi="ar"/>
              </w:rPr>
              <w:t>Specificity</w:t>
            </w:r>
          </w:p>
        </w:tc>
        <w:tc>
          <w:tcPr>
            <w:tcW w:w="940" w:type="dxa"/>
            <w:tcBorders>
              <w:top w:val="nil"/>
              <w:left w:val="nil"/>
              <w:bottom w:val="single" w:color="auto" w:sz="12" w:space="0"/>
              <w:right w:val="nil"/>
            </w:tcBorders>
            <w:shd w:val="clear" w:color="auto" w:fill="FFFFFF" w:themeFill="background1"/>
            <w:noWrap/>
            <w:vAlign w:val="top"/>
          </w:tcPr>
          <w:p w14:paraId="4C821A91">
            <w:pPr>
              <w:snapToGrid w:val="0"/>
              <w:spacing w:before="0" w:beforeLines="0" w:after="0" w:afterLines="0"/>
              <w:ind w:left="0" w:leftChars="0" w:right="0" w:rightChars="0" w:firstLine="0" w:firstLineChars="0"/>
              <w:jc w:val="center"/>
              <w:rPr>
                <w:sz w:val="18"/>
                <w:szCs w:val="18"/>
              </w:rPr>
            </w:pPr>
            <w:r>
              <w:rPr>
                <w:sz w:val="18"/>
                <w:szCs w:val="18"/>
                <w:lang w:bidi="ar"/>
              </w:rPr>
              <w:t>100.0%</w:t>
            </w:r>
          </w:p>
        </w:tc>
      </w:tr>
      <w:tr w14:paraId="6FE07045">
        <w:tblPrEx>
          <w:tblCellMar>
            <w:top w:w="0" w:type="dxa"/>
            <w:left w:w="108" w:type="dxa"/>
            <w:bottom w:w="0" w:type="dxa"/>
            <w:right w:w="108" w:type="dxa"/>
          </w:tblCellMar>
        </w:tblPrEx>
        <w:trPr>
          <w:trHeight w:val="107" w:hRule="atLeast"/>
        </w:trPr>
        <w:tc>
          <w:tcPr>
            <w:tcW w:w="14175" w:type="dxa"/>
            <w:gridSpan w:val="8"/>
            <w:tcBorders>
              <w:top w:val="nil"/>
              <w:left w:val="nil"/>
              <w:bottom w:val="dashSmallGap" w:color="auto" w:sz="4" w:space="0"/>
              <w:right w:val="nil"/>
            </w:tcBorders>
            <w:shd w:val="clear" w:color="auto" w:fill="FFFFFF" w:themeFill="background1"/>
            <w:noWrap/>
            <w:vAlign w:val="top"/>
          </w:tcPr>
          <w:p w14:paraId="6E73E9E2">
            <w:pPr>
              <w:snapToGrid w:val="0"/>
              <w:spacing w:before="0" w:beforeLines="0" w:after="0" w:afterLines="0"/>
              <w:ind w:left="0" w:leftChars="0" w:right="0" w:rightChars="0" w:firstLine="0" w:firstLineChars="0"/>
              <w:jc w:val="left"/>
              <w:rPr>
                <w:sz w:val="18"/>
                <w:szCs w:val="18"/>
              </w:rPr>
            </w:pPr>
            <w:bookmarkStart w:id="0" w:name="_Hlk211796618"/>
            <w:r>
              <w:rPr>
                <w:sz w:val="18"/>
                <w:szCs w:val="18"/>
              </w:rPr>
              <w:t xml:space="preserve">CR: Carbapenem-resistant, PA: Pseudomonas aeruginosa, IR: </w:t>
            </w:r>
            <w:r>
              <w:rPr>
                <w:sz w:val="18"/>
                <w:szCs w:val="18"/>
                <w:lang w:bidi="ar"/>
              </w:rPr>
              <w:t>Imienem Resistant; IM: meropenem-resistant; PCR: Polymerase Chain Reaction.</w:t>
            </w:r>
            <w:bookmarkEnd w:id="0"/>
          </w:p>
        </w:tc>
      </w:tr>
    </w:tbl>
    <w:p w14:paraId="52A784A5">
      <w:pPr>
        <w:pStyle w:val="39"/>
        <w:rPr>
          <w:rFonts w:hint="eastAsia"/>
        </w:rPr>
      </w:pPr>
      <w:r>
        <w:rPr>
          <w:rFonts w:hint="eastAsia"/>
        </w:rPr>
        <w:t>附表2.临床问题2纳入文献基线特征表</w:t>
      </w:r>
    </w:p>
    <w:tbl>
      <w:tblPr>
        <w:tblStyle w:val="15"/>
        <w:tblW w:w="5000" w:type="pct"/>
        <w:jc w:val="center"/>
        <w:tblLayout w:type="fixed"/>
        <w:tblCellMar>
          <w:top w:w="0" w:type="dxa"/>
          <w:left w:w="108" w:type="dxa"/>
          <w:bottom w:w="0" w:type="dxa"/>
          <w:right w:w="108" w:type="dxa"/>
        </w:tblCellMar>
      </w:tblPr>
      <w:tblGrid>
        <w:gridCol w:w="794"/>
        <w:gridCol w:w="987"/>
        <w:gridCol w:w="805"/>
        <w:gridCol w:w="754"/>
        <w:gridCol w:w="595"/>
        <w:gridCol w:w="2030"/>
        <w:gridCol w:w="794"/>
        <w:gridCol w:w="1735"/>
        <w:gridCol w:w="2497"/>
        <w:gridCol w:w="1201"/>
        <w:gridCol w:w="1982"/>
      </w:tblGrid>
      <w:tr w14:paraId="17228027">
        <w:tblPrEx>
          <w:tblCellMar>
            <w:top w:w="0" w:type="dxa"/>
            <w:left w:w="108" w:type="dxa"/>
            <w:bottom w:w="0" w:type="dxa"/>
            <w:right w:w="108" w:type="dxa"/>
          </w:tblCellMar>
        </w:tblPrEx>
        <w:trPr>
          <w:trHeight w:val="0" w:hRule="atLeast"/>
          <w:jc w:val="center"/>
        </w:trPr>
        <w:tc>
          <w:tcPr>
            <w:tcW w:w="280" w:type="pct"/>
            <w:tcBorders>
              <w:top w:val="single" w:color="000000" w:sz="12" w:space="0"/>
              <w:left w:val="nil"/>
              <w:bottom w:val="single" w:color="000000" w:sz="8" w:space="0"/>
              <w:right w:val="nil"/>
            </w:tcBorders>
            <w:vAlign w:val="center"/>
          </w:tcPr>
          <w:p w14:paraId="7F988E4C">
            <w:pPr>
              <w:snapToGrid w:val="0"/>
              <w:spacing w:before="0" w:beforeLines="0" w:after="0" w:afterLines="0"/>
              <w:rPr>
                <w:b/>
                <w:bCs/>
                <w:sz w:val="18"/>
                <w:szCs w:val="18"/>
              </w:rPr>
            </w:pPr>
            <w:r>
              <w:rPr>
                <w:b/>
                <w:bCs/>
                <w:sz w:val="18"/>
                <w:szCs w:val="18"/>
                <w:lang w:bidi="ar"/>
              </w:rPr>
              <w:t>Study ID</w:t>
            </w:r>
          </w:p>
        </w:tc>
        <w:tc>
          <w:tcPr>
            <w:tcW w:w="348" w:type="pct"/>
            <w:tcBorders>
              <w:top w:val="single" w:color="000000" w:sz="12" w:space="0"/>
              <w:left w:val="nil"/>
              <w:bottom w:val="single" w:color="000000" w:sz="8" w:space="0"/>
              <w:right w:val="nil"/>
            </w:tcBorders>
            <w:vAlign w:val="center"/>
          </w:tcPr>
          <w:p w14:paraId="1A97EA14">
            <w:pPr>
              <w:snapToGrid w:val="0"/>
              <w:spacing w:before="0" w:beforeLines="0" w:after="0" w:afterLines="0"/>
              <w:rPr>
                <w:b/>
                <w:bCs/>
                <w:sz w:val="18"/>
                <w:szCs w:val="18"/>
              </w:rPr>
            </w:pPr>
            <w:r>
              <w:rPr>
                <w:b/>
                <w:bCs/>
                <w:sz w:val="18"/>
                <w:szCs w:val="18"/>
                <w:lang w:bidi="ar"/>
              </w:rPr>
              <w:t>Study Design</w:t>
            </w:r>
          </w:p>
        </w:tc>
        <w:tc>
          <w:tcPr>
            <w:tcW w:w="283" w:type="pct"/>
            <w:tcBorders>
              <w:top w:val="single" w:color="000000" w:sz="12" w:space="0"/>
              <w:left w:val="nil"/>
              <w:bottom w:val="single" w:color="000000" w:sz="8" w:space="0"/>
              <w:right w:val="nil"/>
            </w:tcBorders>
            <w:vAlign w:val="center"/>
          </w:tcPr>
          <w:p w14:paraId="50FBCD78">
            <w:pPr>
              <w:snapToGrid w:val="0"/>
              <w:spacing w:before="0" w:beforeLines="0" w:after="0" w:afterLines="0"/>
              <w:rPr>
                <w:b/>
                <w:bCs/>
                <w:sz w:val="18"/>
                <w:szCs w:val="18"/>
              </w:rPr>
            </w:pPr>
            <w:r>
              <w:rPr>
                <w:b/>
                <w:bCs/>
                <w:sz w:val="18"/>
                <w:szCs w:val="18"/>
                <w:lang w:bidi="ar"/>
              </w:rPr>
              <w:t>Country</w:t>
            </w:r>
          </w:p>
        </w:tc>
        <w:tc>
          <w:tcPr>
            <w:tcW w:w="265" w:type="pct"/>
            <w:tcBorders>
              <w:top w:val="single" w:color="000000" w:sz="12" w:space="0"/>
              <w:left w:val="nil"/>
              <w:bottom w:val="single" w:color="000000" w:sz="8" w:space="0"/>
              <w:right w:val="nil"/>
            </w:tcBorders>
            <w:vAlign w:val="center"/>
          </w:tcPr>
          <w:p w14:paraId="67064404">
            <w:pPr>
              <w:snapToGrid w:val="0"/>
              <w:spacing w:before="0" w:beforeLines="0" w:after="0" w:afterLines="0"/>
              <w:rPr>
                <w:b/>
                <w:bCs/>
                <w:sz w:val="18"/>
                <w:szCs w:val="18"/>
              </w:rPr>
            </w:pPr>
            <w:r>
              <w:rPr>
                <w:b/>
                <w:bCs/>
                <w:sz w:val="18"/>
                <w:szCs w:val="18"/>
                <w:lang w:bidi="ar"/>
              </w:rPr>
              <w:t>Sample Size</w:t>
            </w:r>
          </w:p>
        </w:tc>
        <w:tc>
          <w:tcPr>
            <w:tcW w:w="209" w:type="pct"/>
            <w:tcBorders>
              <w:top w:val="single" w:color="000000" w:sz="12" w:space="0"/>
              <w:left w:val="nil"/>
              <w:bottom w:val="single" w:color="000000" w:sz="8" w:space="0"/>
              <w:right w:val="nil"/>
            </w:tcBorders>
            <w:vAlign w:val="center"/>
          </w:tcPr>
          <w:p w14:paraId="766C3BF8">
            <w:pPr>
              <w:snapToGrid w:val="0"/>
              <w:spacing w:before="0" w:beforeLines="0" w:after="0" w:afterLines="0"/>
              <w:rPr>
                <w:b/>
                <w:bCs/>
                <w:sz w:val="18"/>
                <w:szCs w:val="18"/>
              </w:rPr>
            </w:pPr>
            <w:r>
              <w:rPr>
                <w:b/>
                <w:bCs/>
                <w:sz w:val="18"/>
                <w:szCs w:val="18"/>
                <w:lang w:bidi="ar"/>
              </w:rPr>
              <w:t>Age</w:t>
            </w:r>
          </w:p>
        </w:tc>
        <w:tc>
          <w:tcPr>
            <w:tcW w:w="716" w:type="pct"/>
            <w:tcBorders>
              <w:top w:val="single" w:color="000000" w:sz="12" w:space="0"/>
              <w:left w:val="nil"/>
              <w:bottom w:val="single" w:color="000000" w:sz="8" w:space="0"/>
              <w:right w:val="nil"/>
            </w:tcBorders>
            <w:vAlign w:val="center"/>
          </w:tcPr>
          <w:p w14:paraId="3145963A">
            <w:pPr>
              <w:snapToGrid w:val="0"/>
              <w:spacing w:before="0" w:beforeLines="0" w:after="0" w:afterLines="0"/>
              <w:rPr>
                <w:b/>
                <w:bCs/>
                <w:sz w:val="18"/>
                <w:szCs w:val="18"/>
              </w:rPr>
            </w:pPr>
            <w:r>
              <w:rPr>
                <w:b/>
                <w:bCs/>
                <w:sz w:val="18"/>
                <w:szCs w:val="18"/>
                <w:lang w:bidi="ar"/>
              </w:rPr>
              <w:t>Pathogenic Bacteria</w:t>
            </w:r>
          </w:p>
        </w:tc>
        <w:tc>
          <w:tcPr>
            <w:tcW w:w="280" w:type="pct"/>
            <w:tcBorders>
              <w:top w:val="single" w:color="000000" w:sz="12" w:space="0"/>
              <w:left w:val="nil"/>
              <w:bottom w:val="single" w:color="000000" w:sz="8" w:space="0"/>
              <w:right w:val="nil"/>
            </w:tcBorders>
            <w:vAlign w:val="center"/>
          </w:tcPr>
          <w:p w14:paraId="55A0EFBC">
            <w:pPr>
              <w:snapToGrid w:val="0"/>
              <w:spacing w:before="0" w:beforeLines="0" w:after="0" w:afterLines="0"/>
              <w:rPr>
                <w:b/>
                <w:bCs/>
                <w:sz w:val="18"/>
                <w:szCs w:val="18"/>
              </w:rPr>
            </w:pPr>
            <w:bookmarkStart w:id="1" w:name="OLE_LINK5"/>
            <w:r>
              <w:rPr>
                <w:b/>
                <w:bCs/>
                <w:sz w:val="18"/>
                <w:szCs w:val="18"/>
                <w:lang w:bidi="ar"/>
              </w:rPr>
              <w:t>Patients Disease</w:t>
            </w:r>
            <w:bookmarkEnd w:id="1"/>
          </w:p>
        </w:tc>
        <w:tc>
          <w:tcPr>
            <w:tcW w:w="612" w:type="pct"/>
            <w:tcBorders>
              <w:top w:val="single" w:color="000000" w:sz="12" w:space="0"/>
              <w:left w:val="nil"/>
              <w:bottom w:val="single" w:color="000000" w:sz="8" w:space="0"/>
              <w:right w:val="nil"/>
            </w:tcBorders>
            <w:vAlign w:val="center"/>
          </w:tcPr>
          <w:p w14:paraId="1A19CFC6">
            <w:pPr>
              <w:snapToGrid w:val="0"/>
              <w:spacing w:before="0" w:beforeLines="0" w:after="0" w:afterLines="0"/>
              <w:rPr>
                <w:b/>
                <w:bCs/>
                <w:sz w:val="18"/>
                <w:szCs w:val="18"/>
              </w:rPr>
            </w:pPr>
            <w:r>
              <w:rPr>
                <w:b/>
                <w:bCs/>
                <w:sz w:val="18"/>
                <w:szCs w:val="18"/>
                <w:lang w:bidi="ar"/>
              </w:rPr>
              <w:t>Intervention</w:t>
            </w:r>
          </w:p>
        </w:tc>
        <w:tc>
          <w:tcPr>
            <w:tcW w:w="880" w:type="pct"/>
            <w:tcBorders>
              <w:top w:val="single" w:color="000000" w:sz="12" w:space="0"/>
              <w:left w:val="nil"/>
              <w:bottom w:val="single" w:color="000000" w:sz="8" w:space="0"/>
              <w:right w:val="nil"/>
            </w:tcBorders>
            <w:vAlign w:val="center"/>
          </w:tcPr>
          <w:p w14:paraId="6B44958D">
            <w:pPr>
              <w:snapToGrid w:val="0"/>
              <w:spacing w:before="0" w:beforeLines="0" w:after="0" w:afterLines="0"/>
              <w:rPr>
                <w:b/>
                <w:bCs/>
                <w:sz w:val="18"/>
                <w:szCs w:val="18"/>
              </w:rPr>
            </w:pPr>
            <w:r>
              <w:rPr>
                <w:b/>
                <w:bCs/>
                <w:sz w:val="18"/>
                <w:szCs w:val="18"/>
                <w:lang w:bidi="ar"/>
              </w:rPr>
              <w:t>Dosage, Frequency, Duration</w:t>
            </w:r>
          </w:p>
        </w:tc>
        <w:tc>
          <w:tcPr>
            <w:tcW w:w="423" w:type="pct"/>
            <w:tcBorders>
              <w:top w:val="single" w:color="000000" w:sz="12" w:space="0"/>
              <w:left w:val="nil"/>
              <w:bottom w:val="single" w:color="000000" w:sz="8" w:space="0"/>
              <w:right w:val="nil"/>
            </w:tcBorders>
            <w:vAlign w:val="center"/>
          </w:tcPr>
          <w:p w14:paraId="412A2C06">
            <w:pPr>
              <w:snapToGrid w:val="0"/>
              <w:spacing w:before="0" w:beforeLines="0" w:after="0" w:afterLines="0"/>
              <w:rPr>
                <w:b/>
                <w:bCs/>
                <w:sz w:val="18"/>
                <w:szCs w:val="18"/>
              </w:rPr>
            </w:pPr>
            <w:r>
              <w:rPr>
                <w:b/>
                <w:bCs/>
                <w:sz w:val="18"/>
                <w:szCs w:val="18"/>
                <w:lang w:bidi="ar"/>
              </w:rPr>
              <w:t>Comparison</w:t>
            </w:r>
          </w:p>
        </w:tc>
        <w:tc>
          <w:tcPr>
            <w:tcW w:w="699" w:type="pct"/>
            <w:tcBorders>
              <w:top w:val="single" w:color="000000" w:sz="12" w:space="0"/>
              <w:left w:val="nil"/>
              <w:bottom w:val="single" w:color="000000" w:sz="8" w:space="0"/>
              <w:right w:val="nil"/>
            </w:tcBorders>
            <w:vAlign w:val="center"/>
          </w:tcPr>
          <w:p w14:paraId="09E7A7F1">
            <w:pPr>
              <w:snapToGrid w:val="0"/>
              <w:spacing w:before="0" w:beforeLines="0" w:after="0" w:afterLines="0"/>
              <w:rPr>
                <w:b/>
                <w:bCs/>
                <w:sz w:val="18"/>
                <w:szCs w:val="18"/>
              </w:rPr>
            </w:pPr>
            <w:r>
              <w:rPr>
                <w:b/>
                <w:bCs/>
                <w:sz w:val="18"/>
                <w:szCs w:val="18"/>
                <w:lang w:bidi="ar"/>
              </w:rPr>
              <w:t>Dosage, Frequency, Duration</w:t>
            </w:r>
          </w:p>
        </w:tc>
      </w:tr>
      <w:tr w14:paraId="3949D508">
        <w:tblPrEx>
          <w:tblCellMar>
            <w:top w:w="0" w:type="dxa"/>
            <w:left w:w="108" w:type="dxa"/>
            <w:bottom w:w="0" w:type="dxa"/>
            <w:right w:w="108" w:type="dxa"/>
          </w:tblCellMar>
        </w:tblPrEx>
        <w:trPr>
          <w:trHeight w:val="0" w:hRule="atLeast"/>
          <w:jc w:val="center"/>
        </w:trPr>
        <w:tc>
          <w:tcPr>
            <w:tcW w:w="280" w:type="pct"/>
            <w:tcBorders>
              <w:top w:val="nil"/>
              <w:left w:val="nil"/>
              <w:bottom w:val="single" w:color="000000" w:sz="12" w:space="0"/>
              <w:right w:val="nil"/>
            </w:tcBorders>
            <w:vAlign w:val="center"/>
          </w:tcPr>
          <w:p w14:paraId="219B031B">
            <w:pPr>
              <w:snapToGrid w:val="0"/>
              <w:spacing w:before="0" w:beforeLines="0" w:after="0" w:afterLines="0"/>
              <w:rPr>
                <w:sz w:val="18"/>
                <w:szCs w:val="18"/>
              </w:rPr>
            </w:pPr>
            <w:r>
              <w:rPr>
                <w:sz w:val="18"/>
                <w:szCs w:val="18"/>
                <w:lang w:bidi="ar"/>
              </w:rPr>
              <w:t>Nutman 2020</w:t>
            </w:r>
          </w:p>
        </w:tc>
        <w:tc>
          <w:tcPr>
            <w:tcW w:w="348" w:type="pct"/>
            <w:tcBorders>
              <w:top w:val="nil"/>
              <w:left w:val="nil"/>
              <w:bottom w:val="single" w:color="000000" w:sz="12" w:space="0"/>
              <w:right w:val="nil"/>
            </w:tcBorders>
            <w:vAlign w:val="center"/>
          </w:tcPr>
          <w:p w14:paraId="52D2D95B">
            <w:pPr>
              <w:snapToGrid w:val="0"/>
              <w:spacing w:before="0" w:beforeLines="0" w:after="0" w:afterLines="0"/>
              <w:rPr>
                <w:sz w:val="18"/>
                <w:szCs w:val="18"/>
              </w:rPr>
            </w:pPr>
            <w:r>
              <w:rPr>
                <w:sz w:val="18"/>
                <w:szCs w:val="18"/>
                <w:lang w:bidi="ar"/>
              </w:rPr>
              <w:t>Secondary analysis of RCT</w:t>
            </w:r>
          </w:p>
        </w:tc>
        <w:tc>
          <w:tcPr>
            <w:tcW w:w="283" w:type="pct"/>
            <w:tcBorders>
              <w:top w:val="nil"/>
              <w:left w:val="nil"/>
              <w:bottom w:val="single" w:color="000000" w:sz="12" w:space="0"/>
              <w:right w:val="nil"/>
            </w:tcBorders>
            <w:vAlign w:val="center"/>
          </w:tcPr>
          <w:p w14:paraId="7DE95AE3">
            <w:pPr>
              <w:snapToGrid w:val="0"/>
              <w:spacing w:before="0" w:beforeLines="0" w:after="0" w:afterLines="0"/>
              <w:rPr>
                <w:sz w:val="18"/>
                <w:szCs w:val="18"/>
              </w:rPr>
            </w:pPr>
            <w:r>
              <w:rPr>
                <w:sz w:val="18"/>
                <w:szCs w:val="18"/>
                <w:lang w:bidi="ar"/>
              </w:rPr>
              <w:t>Italy</w:t>
            </w:r>
          </w:p>
        </w:tc>
        <w:tc>
          <w:tcPr>
            <w:tcW w:w="265" w:type="pct"/>
            <w:tcBorders>
              <w:top w:val="nil"/>
              <w:left w:val="nil"/>
              <w:bottom w:val="single" w:color="000000" w:sz="12" w:space="0"/>
              <w:right w:val="nil"/>
            </w:tcBorders>
            <w:vAlign w:val="center"/>
          </w:tcPr>
          <w:p w14:paraId="7C50A6B4">
            <w:pPr>
              <w:snapToGrid w:val="0"/>
              <w:spacing w:before="0" w:beforeLines="0" w:after="0" w:afterLines="0"/>
              <w:rPr>
                <w:sz w:val="18"/>
                <w:szCs w:val="18"/>
              </w:rPr>
            </w:pPr>
            <w:r>
              <w:rPr>
                <w:sz w:val="18"/>
                <w:szCs w:val="18"/>
                <w:lang w:bidi="ar"/>
              </w:rPr>
              <w:t>I:73;</w:t>
            </w:r>
            <w:r>
              <w:rPr>
                <w:sz w:val="18"/>
                <w:szCs w:val="18"/>
                <w:lang w:bidi="ar"/>
              </w:rPr>
              <w:br w:type="textWrapping"/>
            </w:r>
            <w:r>
              <w:rPr>
                <w:sz w:val="18"/>
                <w:szCs w:val="18"/>
                <w:lang w:bidi="ar"/>
              </w:rPr>
              <w:t>C: 198</w:t>
            </w:r>
          </w:p>
        </w:tc>
        <w:tc>
          <w:tcPr>
            <w:tcW w:w="209" w:type="pct"/>
            <w:tcBorders>
              <w:top w:val="nil"/>
              <w:left w:val="nil"/>
              <w:bottom w:val="single" w:color="000000" w:sz="12" w:space="0"/>
              <w:right w:val="nil"/>
            </w:tcBorders>
            <w:vAlign w:val="center"/>
          </w:tcPr>
          <w:p w14:paraId="3D184B7D">
            <w:pPr>
              <w:snapToGrid w:val="0"/>
              <w:spacing w:before="0" w:beforeLines="0" w:after="0" w:afterLines="0"/>
              <w:rPr>
                <w:sz w:val="18"/>
                <w:szCs w:val="18"/>
              </w:rPr>
            </w:pPr>
            <w:r>
              <w:rPr>
                <w:sz w:val="18"/>
                <w:szCs w:val="18"/>
                <w:lang w:bidi="ar"/>
              </w:rPr>
              <w:t>≥18 years</w:t>
            </w:r>
          </w:p>
        </w:tc>
        <w:tc>
          <w:tcPr>
            <w:tcW w:w="716" w:type="pct"/>
            <w:tcBorders>
              <w:top w:val="nil"/>
              <w:left w:val="nil"/>
              <w:bottom w:val="single" w:color="000000" w:sz="12" w:space="0"/>
              <w:right w:val="nil"/>
            </w:tcBorders>
            <w:vAlign w:val="center"/>
          </w:tcPr>
          <w:p w14:paraId="6814DD3D">
            <w:pPr>
              <w:snapToGrid w:val="0"/>
              <w:spacing w:before="0" w:beforeLines="0" w:after="0" w:afterLines="0"/>
              <w:rPr>
                <w:sz w:val="18"/>
                <w:szCs w:val="18"/>
              </w:rPr>
            </w:pPr>
            <w:r>
              <w:rPr>
                <w:sz w:val="18"/>
                <w:szCs w:val="18"/>
                <w:lang w:bidi="ar"/>
              </w:rPr>
              <w:t>Colistin-susceptible, carbapenem non-susceptible Acinetobacter baumannii(131), Enterobacteriaceae(37), and PA (3).</w:t>
            </w:r>
          </w:p>
        </w:tc>
        <w:tc>
          <w:tcPr>
            <w:tcW w:w="280" w:type="pct"/>
            <w:tcBorders>
              <w:top w:val="nil"/>
              <w:left w:val="nil"/>
              <w:bottom w:val="single" w:color="000000" w:sz="12" w:space="0"/>
              <w:right w:val="nil"/>
            </w:tcBorders>
            <w:vAlign w:val="center"/>
          </w:tcPr>
          <w:p w14:paraId="03785D68">
            <w:pPr>
              <w:snapToGrid w:val="0"/>
              <w:spacing w:before="0" w:beforeLines="0" w:after="0" w:afterLines="0"/>
              <w:rPr>
                <w:sz w:val="18"/>
                <w:szCs w:val="18"/>
              </w:rPr>
            </w:pPr>
            <w:r>
              <w:rPr>
                <w:sz w:val="18"/>
                <w:szCs w:val="18"/>
                <w:lang w:bidi="ar"/>
              </w:rPr>
              <w:t>VAP,  BIS and UTI</w:t>
            </w:r>
          </w:p>
        </w:tc>
        <w:tc>
          <w:tcPr>
            <w:tcW w:w="612" w:type="pct"/>
            <w:tcBorders>
              <w:top w:val="nil"/>
              <w:left w:val="nil"/>
              <w:bottom w:val="single" w:color="000000" w:sz="12" w:space="0"/>
              <w:right w:val="nil"/>
            </w:tcBorders>
            <w:vAlign w:val="center"/>
          </w:tcPr>
          <w:p w14:paraId="3BA41601">
            <w:pPr>
              <w:snapToGrid w:val="0"/>
              <w:spacing w:before="0" w:beforeLines="0" w:after="0" w:afterLines="0"/>
              <w:rPr>
                <w:sz w:val="18"/>
                <w:szCs w:val="18"/>
              </w:rPr>
            </w:pPr>
            <w:r>
              <w:rPr>
                <w:sz w:val="18"/>
                <w:szCs w:val="18"/>
                <w:lang w:bidi="ar"/>
              </w:rPr>
              <w:t>Combination with Synergism(colistin-meropenem)</w:t>
            </w:r>
          </w:p>
        </w:tc>
        <w:tc>
          <w:tcPr>
            <w:tcW w:w="880" w:type="pct"/>
            <w:tcBorders>
              <w:top w:val="nil"/>
              <w:left w:val="nil"/>
              <w:bottom w:val="single" w:color="000000" w:sz="12" w:space="0"/>
              <w:right w:val="nil"/>
            </w:tcBorders>
            <w:vAlign w:val="center"/>
          </w:tcPr>
          <w:p w14:paraId="20ECF92F">
            <w:pPr>
              <w:snapToGrid w:val="0"/>
              <w:spacing w:before="0" w:beforeLines="0" w:after="0" w:afterLines="0"/>
              <w:rPr>
                <w:sz w:val="18"/>
                <w:szCs w:val="18"/>
              </w:rPr>
            </w:pPr>
            <w:r>
              <w:rPr>
                <w:sz w:val="18"/>
                <w:szCs w:val="18"/>
                <w:lang w:bidi="ar"/>
              </w:rPr>
              <w:t xml:space="preserve">Colistin methane sulfonate (CMS): 9-million unit loading dose, followed by 4.5-million unit maintenance doses every 12 hours, adjusted for renal function. </w:t>
            </w:r>
            <w:r>
              <w:rPr>
                <w:sz w:val="18"/>
                <w:szCs w:val="18"/>
                <w:lang w:bidi="ar"/>
              </w:rPr>
              <w:br w:type="textWrapping"/>
            </w:r>
            <w:r>
              <w:rPr>
                <w:sz w:val="18"/>
                <w:szCs w:val="18"/>
                <w:lang w:bidi="ar"/>
              </w:rPr>
              <w:t>Meropenem: 2 gram extended-infusion (3 hours) every 8 hours, adjusted for renal function.</w:t>
            </w:r>
          </w:p>
        </w:tc>
        <w:tc>
          <w:tcPr>
            <w:tcW w:w="423" w:type="pct"/>
            <w:tcBorders>
              <w:top w:val="nil"/>
              <w:left w:val="nil"/>
              <w:bottom w:val="single" w:color="000000" w:sz="12" w:space="0"/>
              <w:right w:val="nil"/>
            </w:tcBorders>
            <w:vAlign w:val="center"/>
          </w:tcPr>
          <w:p w14:paraId="3E204B3A">
            <w:pPr>
              <w:snapToGrid w:val="0"/>
              <w:spacing w:before="0" w:beforeLines="0" w:after="0" w:afterLines="0"/>
              <w:rPr>
                <w:sz w:val="18"/>
                <w:szCs w:val="18"/>
              </w:rPr>
            </w:pPr>
            <w:r>
              <w:rPr>
                <w:sz w:val="18"/>
                <w:szCs w:val="18"/>
                <w:lang w:bidi="ar"/>
              </w:rPr>
              <w:t>Monotherapy(colistin)</w:t>
            </w:r>
          </w:p>
        </w:tc>
        <w:tc>
          <w:tcPr>
            <w:tcW w:w="699" w:type="pct"/>
            <w:tcBorders>
              <w:top w:val="nil"/>
              <w:left w:val="nil"/>
              <w:bottom w:val="single" w:color="000000" w:sz="12" w:space="0"/>
              <w:right w:val="nil"/>
            </w:tcBorders>
            <w:vAlign w:val="center"/>
          </w:tcPr>
          <w:p w14:paraId="77F2D106">
            <w:pPr>
              <w:snapToGrid w:val="0"/>
              <w:spacing w:before="0" w:beforeLines="0" w:after="0" w:afterLines="0"/>
              <w:rPr>
                <w:sz w:val="18"/>
                <w:szCs w:val="18"/>
              </w:rPr>
            </w:pPr>
            <w:r>
              <w:rPr>
                <w:sz w:val="18"/>
                <w:szCs w:val="18"/>
                <w:lang w:bidi="ar"/>
              </w:rPr>
              <w:t>Colistin methane sulfonate (CMS): a 9-million unit loading dose, followed by 4.5-million unit maintenance doses every 12 hours, adjusted for renal function.</w:t>
            </w:r>
          </w:p>
        </w:tc>
      </w:tr>
      <w:tr w14:paraId="6C08D848">
        <w:tblPrEx>
          <w:tblCellMar>
            <w:top w:w="0" w:type="dxa"/>
            <w:left w:w="108" w:type="dxa"/>
            <w:bottom w:w="0" w:type="dxa"/>
            <w:right w:w="108" w:type="dxa"/>
          </w:tblCellMar>
        </w:tblPrEx>
        <w:trPr>
          <w:trHeight w:val="0" w:hRule="atLeast"/>
          <w:jc w:val="center"/>
        </w:trPr>
        <w:tc>
          <w:tcPr>
            <w:tcW w:w="5000" w:type="pct"/>
            <w:gridSpan w:val="11"/>
            <w:tcBorders>
              <w:top w:val="nil"/>
              <w:left w:val="nil"/>
              <w:bottom w:val="nil"/>
              <w:right w:val="nil"/>
            </w:tcBorders>
          </w:tcPr>
          <w:p w14:paraId="607E6580">
            <w:pPr>
              <w:snapToGrid w:val="0"/>
              <w:spacing w:before="0" w:beforeLines="0" w:after="0" w:afterLines="0"/>
              <w:rPr>
                <w:sz w:val="18"/>
                <w:szCs w:val="18"/>
              </w:rPr>
            </w:pPr>
            <w:r>
              <w:rPr>
                <w:sz w:val="18"/>
                <w:szCs w:val="18"/>
                <w:lang w:bidi="ar"/>
              </w:rPr>
              <w:t>I: Intervention; C: Comparison; PA: Pseudomonas aeruginosa; VAP: Ventilator-associated pneumonia; BIS: bloodstream infection; UTI: urinary tract infection</w:t>
            </w:r>
          </w:p>
        </w:tc>
      </w:tr>
    </w:tbl>
    <w:p w14:paraId="2EC66AE2">
      <w:pPr>
        <w:pStyle w:val="39"/>
        <w:rPr>
          <w:rFonts w:hint="eastAsia"/>
        </w:rPr>
      </w:pPr>
      <w:bookmarkStart w:id="2" w:name="_Toc1738"/>
      <w:r>
        <w:rPr>
          <w:rFonts w:hint="eastAsia"/>
        </w:rPr>
        <w:t>附表3.临床问题3纳入文献基线特征表</w:t>
      </w:r>
    </w:p>
    <w:p w14:paraId="430F85B4">
      <w:pPr>
        <w:pStyle w:val="37"/>
        <w:rPr>
          <w:rFonts w:hint="eastAsia"/>
        </w:rPr>
      </w:pPr>
      <w:r>
        <w:rPr>
          <w:rFonts w:hint="eastAsia"/>
        </w:rPr>
        <w:t>表3A . 临床问题3纳入文献基线特-治疗过程中CRPA药物敏感性发生改变</w:t>
      </w:r>
      <w:bookmarkEnd w:id="2"/>
    </w:p>
    <w:tbl>
      <w:tblPr>
        <w:tblStyle w:val="15"/>
        <w:tblW w:w="158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9"/>
        <w:gridCol w:w="956"/>
        <w:gridCol w:w="1000"/>
        <w:gridCol w:w="1033"/>
        <w:gridCol w:w="1711"/>
        <w:gridCol w:w="1702"/>
        <w:gridCol w:w="1480"/>
        <w:gridCol w:w="1165"/>
        <w:gridCol w:w="3855"/>
        <w:gridCol w:w="2015"/>
      </w:tblGrid>
      <w:tr w14:paraId="1DB2D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949" w:type="dxa"/>
            <w:tcBorders>
              <w:top w:val="single" w:color="000000" w:sz="12" w:space="0"/>
              <w:left w:val="nil"/>
              <w:bottom w:val="single" w:color="000000" w:sz="8" w:space="0"/>
              <w:right w:val="nil"/>
            </w:tcBorders>
            <w:shd w:val="clear" w:color="auto" w:fill="auto"/>
            <w:vAlign w:val="center"/>
          </w:tcPr>
          <w:p w14:paraId="49E3EBB7">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Study ID</w:t>
            </w:r>
          </w:p>
        </w:tc>
        <w:tc>
          <w:tcPr>
            <w:tcW w:w="956" w:type="dxa"/>
            <w:tcBorders>
              <w:top w:val="single" w:color="000000" w:sz="12" w:space="0"/>
              <w:left w:val="nil"/>
              <w:bottom w:val="single" w:color="000000" w:sz="8" w:space="0"/>
              <w:right w:val="nil"/>
            </w:tcBorders>
            <w:shd w:val="clear" w:color="auto" w:fill="auto"/>
            <w:vAlign w:val="center"/>
          </w:tcPr>
          <w:p w14:paraId="2037B76E">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Study Design</w:t>
            </w:r>
          </w:p>
        </w:tc>
        <w:tc>
          <w:tcPr>
            <w:tcW w:w="1000" w:type="dxa"/>
            <w:tcBorders>
              <w:top w:val="single" w:color="000000" w:sz="12" w:space="0"/>
              <w:left w:val="nil"/>
              <w:bottom w:val="single" w:color="000000" w:sz="8" w:space="0"/>
              <w:right w:val="nil"/>
            </w:tcBorders>
            <w:shd w:val="clear" w:color="auto" w:fill="auto"/>
            <w:vAlign w:val="center"/>
          </w:tcPr>
          <w:p w14:paraId="063EC2D0">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Sample Size</w:t>
            </w:r>
          </w:p>
        </w:tc>
        <w:tc>
          <w:tcPr>
            <w:tcW w:w="1033" w:type="dxa"/>
            <w:tcBorders>
              <w:top w:val="single" w:color="000000" w:sz="12" w:space="0"/>
              <w:left w:val="nil"/>
              <w:bottom w:val="single" w:color="000000" w:sz="8" w:space="0"/>
              <w:right w:val="nil"/>
            </w:tcBorders>
            <w:shd w:val="clear" w:color="auto" w:fill="auto"/>
            <w:vAlign w:val="center"/>
          </w:tcPr>
          <w:p w14:paraId="0ED1E02A">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Country</w:t>
            </w:r>
          </w:p>
        </w:tc>
        <w:tc>
          <w:tcPr>
            <w:tcW w:w="1711" w:type="dxa"/>
            <w:tcBorders>
              <w:top w:val="single" w:color="000000" w:sz="12" w:space="0"/>
              <w:left w:val="nil"/>
              <w:bottom w:val="single" w:color="000000" w:sz="8" w:space="0"/>
              <w:right w:val="nil"/>
            </w:tcBorders>
            <w:shd w:val="clear" w:color="auto" w:fill="auto"/>
            <w:vAlign w:val="center"/>
          </w:tcPr>
          <w:p w14:paraId="0AC10C4F">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Object</w:t>
            </w:r>
          </w:p>
        </w:tc>
        <w:tc>
          <w:tcPr>
            <w:tcW w:w="1702" w:type="dxa"/>
            <w:tcBorders>
              <w:top w:val="single" w:color="000000" w:sz="12" w:space="0"/>
              <w:left w:val="nil"/>
              <w:bottom w:val="single" w:color="000000" w:sz="8" w:space="0"/>
              <w:right w:val="nil"/>
            </w:tcBorders>
            <w:shd w:val="clear" w:color="auto" w:fill="auto"/>
            <w:vAlign w:val="center"/>
          </w:tcPr>
          <w:p w14:paraId="647E5627">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Pathogenic Bacteria</w:t>
            </w:r>
          </w:p>
        </w:tc>
        <w:tc>
          <w:tcPr>
            <w:tcW w:w="1480" w:type="dxa"/>
            <w:tcBorders>
              <w:top w:val="single" w:color="000000" w:sz="12" w:space="0"/>
              <w:left w:val="nil"/>
              <w:bottom w:val="single" w:color="000000" w:sz="8" w:space="0"/>
              <w:right w:val="nil"/>
            </w:tcBorders>
            <w:shd w:val="clear" w:color="auto" w:fill="auto"/>
            <w:vAlign w:val="center"/>
          </w:tcPr>
          <w:p w14:paraId="3E57B648">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Patients Disease</w:t>
            </w:r>
          </w:p>
        </w:tc>
        <w:tc>
          <w:tcPr>
            <w:tcW w:w="1165" w:type="dxa"/>
            <w:tcBorders>
              <w:top w:val="single" w:color="000000" w:sz="12" w:space="0"/>
              <w:left w:val="nil"/>
              <w:bottom w:val="single" w:color="000000" w:sz="8" w:space="0"/>
              <w:right w:val="nil"/>
            </w:tcBorders>
            <w:shd w:val="clear" w:color="auto" w:fill="auto"/>
            <w:vAlign w:val="center"/>
          </w:tcPr>
          <w:p w14:paraId="0E5C2398">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Age, Years</w:t>
            </w:r>
          </w:p>
        </w:tc>
        <w:tc>
          <w:tcPr>
            <w:tcW w:w="3855" w:type="dxa"/>
            <w:tcBorders>
              <w:top w:val="single" w:color="000000" w:sz="12" w:space="0"/>
              <w:left w:val="nil"/>
              <w:bottom w:val="single" w:color="000000" w:sz="8" w:space="0"/>
              <w:right w:val="nil"/>
            </w:tcBorders>
            <w:shd w:val="clear" w:color="auto" w:fill="auto"/>
            <w:vAlign w:val="center"/>
          </w:tcPr>
          <w:p w14:paraId="5002AC2C">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Intervention: Dosage, Frequency, Duration</w:t>
            </w:r>
          </w:p>
        </w:tc>
        <w:tc>
          <w:tcPr>
            <w:tcW w:w="2015" w:type="dxa"/>
            <w:tcBorders>
              <w:top w:val="single" w:color="000000" w:sz="12" w:space="0"/>
              <w:left w:val="nil"/>
              <w:bottom w:val="single" w:color="000000" w:sz="8" w:space="0"/>
              <w:right w:val="nil"/>
            </w:tcBorders>
            <w:shd w:val="clear" w:color="auto" w:fill="auto"/>
            <w:vAlign w:val="center"/>
          </w:tcPr>
          <w:p w14:paraId="1330794D">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Outcomes</w:t>
            </w:r>
          </w:p>
        </w:tc>
      </w:tr>
      <w:tr w14:paraId="4C06F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949" w:type="dxa"/>
            <w:tcBorders>
              <w:top w:val="nil"/>
              <w:left w:val="nil"/>
              <w:bottom w:val="nil"/>
              <w:right w:val="nil"/>
            </w:tcBorders>
            <w:shd w:val="clear" w:color="auto" w:fill="auto"/>
            <w:vAlign w:val="center"/>
          </w:tcPr>
          <w:p w14:paraId="442CC9E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Fraile-Ribot </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2021</w:t>
            </w:r>
          </w:p>
        </w:tc>
        <w:tc>
          <w:tcPr>
            <w:tcW w:w="956" w:type="dxa"/>
            <w:tcBorders>
              <w:top w:val="nil"/>
              <w:left w:val="nil"/>
              <w:bottom w:val="nil"/>
              <w:right w:val="nil"/>
            </w:tcBorders>
            <w:shd w:val="clear" w:color="auto" w:fill="auto"/>
            <w:vAlign w:val="center"/>
          </w:tcPr>
          <w:p w14:paraId="49C18292">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Case report</w:t>
            </w:r>
          </w:p>
        </w:tc>
        <w:tc>
          <w:tcPr>
            <w:tcW w:w="1000" w:type="dxa"/>
            <w:tcBorders>
              <w:top w:val="nil"/>
              <w:left w:val="nil"/>
              <w:bottom w:val="nil"/>
              <w:right w:val="nil"/>
            </w:tcBorders>
            <w:shd w:val="clear" w:color="auto" w:fill="auto"/>
            <w:vAlign w:val="center"/>
          </w:tcPr>
          <w:p w14:paraId="21B4D617">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w:t>
            </w:r>
          </w:p>
        </w:tc>
        <w:tc>
          <w:tcPr>
            <w:tcW w:w="1033" w:type="dxa"/>
            <w:tcBorders>
              <w:top w:val="nil"/>
              <w:left w:val="nil"/>
              <w:bottom w:val="nil"/>
              <w:right w:val="nil"/>
            </w:tcBorders>
            <w:shd w:val="clear" w:color="auto" w:fill="auto"/>
            <w:vAlign w:val="center"/>
          </w:tcPr>
          <w:p w14:paraId="5F928C7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Spain</w:t>
            </w:r>
          </w:p>
        </w:tc>
        <w:tc>
          <w:tcPr>
            <w:tcW w:w="1711" w:type="dxa"/>
            <w:tcBorders>
              <w:top w:val="nil"/>
              <w:left w:val="nil"/>
              <w:bottom w:val="nil"/>
              <w:right w:val="nil"/>
            </w:tcBorders>
            <w:shd w:val="clear" w:color="auto" w:fill="auto"/>
            <w:vAlign w:val="center"/>
          </w:tcPr>
          <w:p w14:paraId="672617A6">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Style w:val="47"/>
                <w:rFonts w:hint="default" w:ascii="Times New Roman" w:hAnsi="Times New Roman" w:eastAsia="宋体" w:cs="Times New Roman"/>
                <w:sz w:val="18"/>
                <w:szCs w:val="18"/>
                <w:lang w:val="en-US" w:eastAsia="zh-CN" w:bidi="ar"/>
              </w:rPr>
              <w:t>The mechanisms underlying an in vivo switch in the resistance pheno</w:t>
            </w:r>
            <w:r>
              <w:rPr>
                <w:rFonts w:hint="default" w:ascii="Times New Roman" w:hAnsi="Times New Roman" w:eastAsia="宋体" w:cs="Times New Roman"/>
                <w:i w:val="0"/>
                <w:iCs w:val="0"/>
                <w:color w:val="000000"/>
                <w:kern w:val="0"/>
                <w:sz w:val="18"/>
                <w:szCs w:val="18"/>
                <w:u w:val="none"/>
                <w:lang w:val="en-US" w:eastAsia="zh-CN" w:bidi="ar"/>
                <w14:ligatures w14:val="none"/>
              </w:rPr>
              <w:t>_</w:t>
            </w:r>
            <w:r>
              <w:rPr>
                <w:rStyle w:val="47"/>
                <w:rFonts w:hint="default" w:ascii="Times New Roman" w:hAnsi="Times New Roman" w:eastAsia="宋体" w:cs="Times New Roman"/>
                <w:sz w:val="18"/>
                <w:szCs w:val="18"/>
                <w:lang w:val="en-US" w:eastAsia="zh-CN" w:bidi="ar"/>
              </w:rPr>
              <w:t>x005f type of P. aeruginosa after ceftazidime-avibactam treatment was investigated.</w:t>
            </w:r>
          </w:p>
        </w:tc>
        <w:tc>
          <w:tcPr>
            <w:tcW w:w="1702" w:type="dxa"/>
            <w:tcBorders>
              <w:top w:val="nil"/>
              <w:left w:val="nil"/>
              <w:bottom w:val="nil"/>
              <w:right w:val="nil"/>
            </w:tcBorders>
            <w:shd w:val="clear" w:color="auto" w:fill="auto"/>
            <w:vAlign w:val="center"/>
          </w:tcPr>
          <w:p w14:paraId="2EBCE190">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MDR-PA</w:t>
            </w:r>
          </w:p>
        </w:tc>
        <w:tc>
          <w:tcPr>
            <w:tcW w:w="1480" w:type="dxa"/>
            <w:tcBorders>
              <w:top w:val="nil"/>
              <w:left w:val="nil"/>
              <w:bottom w:val="nil"/>
              <w:right w:val="nil"/>
            </w:tcBorders>
            <w:shd w:val="clear" w:color="auto" w:fill="auto"/>
            <w:vAlign w:val="center"/>
          </w:tcPr>
          <w:p w14:paraId="5144B92F">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Catheter-related bloodstream infection</w:t>
            </w:r>
          </w:p>
        </w:tc>
        <w:tc>
          <w:tcPr>
            <w:tcW w:w="1165" w:type="dxa"/>
            <w:tcBorders>
              <w:top w:val="nil"/>
              <w:left w:val="nil"/>
              <w:bottom w:val="nil"/>
              <w:right w:val="nil"/>
            </w:tcBorders>
            <w:shd w:val="clear" w:color="auto" w:fill="auto"/>
            <w:vAlign w:val="center"/>
          </w:tcPr>
          <w:p w14:paraId="65F3F4C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57 years</w:t>
            </w:r>
          </w:p>
        </w:tc>
        <w:tc>
          <w:tcPr>
            <w:tcW w:w="3855" w:type="dxa"/>
            <w:tcBorders>
              <w:top w:val="nil"/>
              <w:left w:val="nil"/>
              <w:bottom w:val="nil"/>
              <w:right w:val="nil"/>
            </w:tcBorders>
            <w:shd w:val="clear" w:color="auto" w:fill="auto"/>
            <w:vAlign w:val="center"/>
          </w:tcPr>
          <w:p w14:paraId="5E4FF92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Treated with ceftazidime-avibactam plus colistin. The infection was cleared but a rectal swab collected 1 week after the initiation of treatment was still positive for MDR PA. The susceptibility profiles of the initial bloodstream and subsequent rectal swab isolates to ticarcillin, piperacillin-tazobactam, aztreonam, ceftazidime, cefepime,</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ceftazidime-avibactam, ceftolozane-tazobactam, imipenem, meropenem, imipenem/relebactam, ciprofloxacin, tobramycin, amikacin, and colistin were determined by broth</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microdilution using customized Sensititre plates (ref. FRCNRP, Thermo Fisher Scientific)</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and EUCAST (eucast.org) breakpoints were applied</w:t>
            </w:r>
          </w:p>
        </w:tc>
        <w:tc>
          <w:tcPr>
            <w:tcW w:w="2015" w:type="dxa"/>
            <w:tcBorders>
              <w:top w:val="nil"/>
              <w:left w:val="nil"/>
              <w:bottom w:val="nil"/>
              <w:right w:val="nil"/>
            </w:tcBorders>
            <w:shd w:val="clear" w:color="auto" w:fill="auto"/>
            <w:vAlign w:val="center"/>
          </w:tcPr>
          <w:p w14:paraId="6BF9FF9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The initial isolate (a blood culture) was resistant to meropenem but remained susceptible to</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antipseudomonal cephalosporins and combinations with b-lactamase inhibitors. One</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week after ceftazidime-avibactam therapy, a subsequent isolate (a rectal swab) recovered</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from the same patient showed the opposite phenotype.</w:t>
            </w:r>
          </w:p>
        </w:tc>
      </w:tr>
      <w:tr w14:paraId="640F0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949" w:type="dxa"/>
            <w:tcBorders>
              <w:top w:val="nil"/>
              <w:left w:val="nil"/>
              <w:bottom w:val="nil"/>
              <w:right w:val="nil"/>
            </w:tcBorders>
            <w:shd w:val="clear" w:color="auto" w:fill="auto"/>
            <w:vAlign w:val="center"/>
          </w:tcPr>
          <w:p w14:paraId="497E154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Streling 2021</w:t>
            </w:r>
          </w:p>
        </w:tc>
        <w:tc>
          <w:tcPr>
            <w:tcW w:w="956" w:type="dxa"/>
            <w:tcBorders>
              <w:top w:val="nil"/>
              <w:left w:val="nil"/>
              <w:bottom w:val="nil"/>
              <w:right w:val="nil"/>
            </w:tcBorders>
            <w:shd w:val="clear" w:color="auto" w:fill="auto"/>
            <w:vAlign w:val="center"/>
          </w:tcPr>
          <w:p w14:paraId="030D2719">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Case report</w:t>
            </w:r>
          </w:p>
        </w:tc>
        <w:tc>
          <w:tcPr>
            <w:tcW w:w="1000" w:type="dxa"/>
            <w:tcBorders>
              <w:top w:val="nil"/>
              <w:left w:val="nil"/>
              <w:bottom w:val="nil"/>
              <w:right w:val="nil"/>
            </w:tcBorders>
            <w:shd w:val="clear" w:color="auto" w:fill="auto"/>
            <w:vAlign w:val="center"/>
          </w:tcPr>
          <w:p w14:paraId="1582581C">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w:t>
            </w:r>
          </w:p>
        </w:tc>
        <w:tc>
          <w:tcPr>
            <w:tcW w:w="1033" w:type="dxa"/>
            <w:tcBorders>
              <w:top w:val="nil"/>
              <w:left w:val="nil"/>
              <w:bottom w:val="nil"/>
              <w:right w:val="nil"/>
            </w:tcBorders>
            <w:shd w:val="clear" w:color="auto" w:fill="auto"/>
            <w:vAlign w:val="center"/>
          </w:tcPr>
          <w:p w14:paraId="60AD2CA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USA</w:t>
            </w:r>
          </w:p>
        </w:tc>
        <w:tc>
          <w:tcPr>
            <w:tcW w:w="1711" w:type="dxa"/>
            <w:tcBorders>
              <w:top w:val="nil"/>
              <w:left w:val="nil"/>
              <w:bottom w:val="nil"/>
              <w:right w:val="nil"/>
            </w:tcBorders>
            <w:shd w:val="clear" w:color="auto" w:fill="auto"/>
            <w:vAlign w:val="center"/>
          </w:tcPr>
          <w:p w14:paraId="244B3B70">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We report the emergence of non-susceptibility to cefiderocol  from a subpopulation of Pseudomonas aeruginosa recovered from a patient without history of cefiderocol exposure</w:t>
            </w:r>
          </w:p>
        </w:tc>
        <w:tc>
          <w:tcPr>
            <w:tcW w:w="1702" w:type="dxa"/>
            <w:tcBorders>
              <w:top w:val="nil"/>
              <w:left w:val="nil"/>
              <w:bottom w:val="nil"/>
              <w:right w:val="nil"/>
            </w:tcBorders>
            <w:shd w:val="clear" w:color="auto" w:fill="auto"/>
            <w:vAlign w:val="center"/>
          </w:tcPr>
          <w:p w14:paraId="42C64F0D">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Meropenem-resistant PA (PSA, isolate P-3614)</w:t>
            </w:r>
          </w:p>
        </w:tc>
        <w:tc>
          <w:tcPr>
            <w:tcW w:w="1480" w:type="dxa"/>
            <w:tcBorders>
              <w:top w:val="nil"/>
              <w:left w:val="nil"/>
              <w:bottom w:val="nil"/>
              <w:right w:val="nil"/>
            </w:tcBorders>
            <w:shd w:val="clear" w:color="auto" w:fill="auto"/>
            <w:vAlign w:val="center"/>
          </w:tcPr>
          <w:p w14:paraId="58C342D0">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Style w:val="47"/>
                <w:rFonts w:hint="default" w:ascii="Times New Roman" w:hAnsi="Times New Roman" w:eastAsia="宋体" w:cs="Times New Roman"/>
                <w:sz w:val="18"/>
                <w:szCs w:val="18"/>
                <w:lang w:val="en-US" w:eastAsia="zh-CN" w:bidi="ar"/>
              </w:rPr>
              <w:t>Orthotopic liver trans</w:t>
            </w:r>
            <w:r>
              <w:rPr>
                <w:rFonts w:hint="default" w:ascii="Times New Roman" w:hAnsi="Times New Roman" w:eastAsia="宋体" w:cs="Times New Roman"/>
                <w:i w:val="0"/>
                <w:iCs w:val="0"/>
                <w:color w:val="000000"/>
                <w:kern w:val="0"/>
                <w:sz w:val="18"/>
                <w:szCs w:val="18"/>
                <w:u w:val="none"/>
                <w:lang w:val="en-US" w:eastAsia="zh-CN" w:bidi="ar"/>
                <w14:ligatures w14:val="none"/>
              </w:rPr>
              <w:t>_</w:t>
            </w:r>
            <w:r>
              <w:rPr>
                <w:rStyle w:val="47"/>
                <w:rFonts w:hint="default" w:ascii="Times New Roman" w:hAnsi="Times New Roman" w:eastAsia="宋体" w:cs="Times New Roman"/>
                <w:sz w:val="18"/>
                <w:szCs w:val="18"/>
                <w:lang w:val="en-US" w:eastAsia="zh-CN" w:bidi="ar"/>
              </w:rPr>
              <w:t>x005f plant (OLT) with  episode of acute cellular rejection and cholangitis.</w:t>
            </w:r>
          </w:p>
        </w:tc>
        <w:tc>
          <w:tcPr>
            <w:tcW w:w="1165" w:type="dxa"/>
            <w:tcBorders>
              <w:top w:val="nil"/>
              <w:left w:val="nil"/>
              <w:bottom w:val="nil"/>
              <w:right w:val="nil"/>
            </w:tcBorders>
            <w:shd w:val="clear" w:color="auto" w:fill="auto"/>
            <w:vAlign w:val="center"/>
          </w:tcPr>
          <w:p w14:paraId="75AF9670">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30 years</w:t>
            </w:r>
          </w:p>
        </w:tc>
        <w:tc>
          <w:tcPr>
            <w:tcW w:w="3855" w:type="dxa"/>
            <w:tcBorders>
              <w:top w:val="nil"/>
              <w:left w:val="nil"/>
              <w:bottom w:val="nil"/>
              <w:right w:val="nil"/>
            </w:tcBorders>
            <w:shd w:val="clear" w:color="auto" w:fill="auto"/>
            <w:vAlign w:val="center"/>
          </w:tcPr>
          <w:p w14:paraId="2333D4C0">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Empiric antibiotic therapy, intravenous daptomycin and meropenem. Four days after starting daptomycin, she developed vancomycin-resistant Enterococcus faecium (VRE) bacteremia. Linezolid was added for 9 days with clearance of subsequent blood cultures. On the 9th day of hospitalization, was placed a common bile duct stent. Day 10  developed PA was resistant to meropenem. Changed treatment to ceftolozane-tazobactam and metronidazole. Day 24 exchanged the biliary stent. She developed a fever, therefore tigecycline and micafungin were added to the regimen for 1 week. Developed a new episode of VRE and PSA bacteremia (isolate P-3615) and 8 days later multiple small hepatic abscesses were identified on MRI of the abdomen. Cefiderocol, on a compassionate use basis. Cefiderocol was started on day 8 of polymyxin-based therapy (in place of ceftazidime-avibactam and aztreonam), but was stopped after 4 days due to the elevation of liver enzymes and susceptibility testing results.</w:t>
            </w:r>
          </w:p>
        </w:tc>
        <w:tc>
          <w:tcPr>
            <w:tcW w:w="2015" w:type="dxa"/>
            <w:tcBorders>
              <w:top w:val="nil"/>
              <w:left w:val="nil"/>
              <w:bottom w:val="nil"/>
              <w:right w:val="nil"/>
            </w:tcBorders>
            <w:shd w:val="clear" w:color="auto" w:fill="auto"/>
            <w:vAlign w:val="center"/>
          </w:tcPr>
          <w:p w14:paraId="5DE196F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Susceptibility testing should be performed before therapy with  siderophore cephalosporins. The PSA recovered from the second episode of bacteremia was resistant to ceftolozane-tazobactam and ceftazidime avibactam.</w:t>
            </w:r>
          </w:p>
        </w:tc>
      </w:tr>
      <w:tr w14:paraId="1D5BB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949" w:type="dxa"/>
            <w:tcBorders>
              <w:top w:val="nil"/>
              <w:left w:val="nil"/>
              <w:bottom w:val="nil"/>
              <w:right w:val="nil"/>
            </w:tcBorders>
            <w:shd w:val="clear" w:color="auto" w:fill="auto"/>
            <w:vAlign w:val="center"/>
          </w:tcPr>
          <w:p w14:paraId="79F8C77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Brakert 2023</w:t>
            </w:r>
          </w:p>
        </w:tc>
        <w:tc>
          <w:tcPr>
            <w:tcW w:w="956" w:type="dxa"/>
            <w:tcBorders>
              <w:top w:val="nil"/>
              <w:left w:val="nil"/>
              <w:bottom w:val="nil"/>
              <w:right w:val="nil"/>
            </w:tcBorders>
            <w:shd w:val="clear" w:color="auto" w:fill="auto"/>
            <w:vAlign w:val="center"/>
          </w:tcPr>
          <w:p w14:paraId="3CB389FD">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case report</w:t>
            </w:r>
          </w:p>
        </w:tc>
        <w:tc>
          <w:tcPr>
            <w:tcW w:w="1000" w:type="dxa"/>
            <w:tcBorders>
              <w:top w:val="nil"/>
              <w:left w:val="nil"/>
              <w:bottom w:val="nil"/>
              <w:right w:val="nil"/>
            </w:tcBorders>
            <w:shd w:val="clear" w:color="auto" w:fill="auto"/>
            <w:vAlign w:val="center"/>
          </w:tcPr>
          <w:p w14:paraId="70424BA4">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w:t>
            </w:r>
          </w:p>
        </w:tc>
        <w:tc>
          <w:tcPr>
            <w:tcW w:w="1033" w:type="dxa"/>
            <w:tcBorders>
              <w:top w:val="nil"/>
              <w:left w:val="nil"/>
              <w:bottom w:val="nil"/>
              <w:right w:val="nil"/>
            </w:tcBorders>
            <w:shd w:val="clear" w:color="auto" w:fill="auto"/>
            <w:vAlign w:val="center"/>
          </w:tcPr>
          <w:p w14:paraId="18D2D48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Germany</w:t>
            </w:r>
          </w:p>
        </w:tc>
        <w:tc>
          <w:tcPr>
            <w:tcW w:w="1711" w:type="dxa"/>
            <w:tcBorders>
              <w:top w:val="nil"/>
              <w:left w:val="nil"/>
              <w:bottom w:val="nil"/>
              <w:right w:val="nil"/>
            </w:tcBorders>
            <w:shd w:val="clear" w:color="auto" w:fill="auto"/>
            <w:vAlign w:val="center"/>
          </w:tcPr>
          <w:p w14:paraId="7E8F2900">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The in vivo development of cefiderocol resistance within 11 days after therapy initiation</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in a critically ill patient with bloodstream infection, infection of peri-anal fistula, and pneumonia caused</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by a VIM-2 harbouring, carbapenem-resistant Pseudomonas aeruginosa.</w:t>
            </w:r>
          </w:p>
        </w:tc>
        <w:tc>
          <w:tcPr>
            <w:tcW w:w="1702" w:type="dxa"/>
            <w:tcBorders>
              <w:top w:val="nil"/>
              <w:left w:val="nil"/>
              <w:bottom w:val="nil"/>
              <w:right w:val="nil"/>
            </w:tcBorders>
            <w:shd w:val="clear" w:color="auto" w:fill="auto"/>
            <w:vAlign w:val="center"/>
          </w:tcPr>
          <w:p w14:paraId="58A300ED">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CR-PA</w:t>
            </w:r>
          </w:p>
        </w:tc>
        <w:tc>
          <w:tcPr>
            <w:tcW w:w="1480" w:type="dxa"/>
            <w:tcBorders>
              <w:top w:val="nil"/>
              <w:left w:val="nil"/>
              <w:bottom w:val="nil"/>
              <w:right w:val="nil"/>
            </w:tcBorders>
            <w:shd w:val="clear" w:color="auto" w:fill="auto"/>
            <w:vAlign w:val="center"/>
          </w:tcPr>
          <w:p w14:paraId="681B6C0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Systemic infection</w:t>
            </w:r>
          </w:p>
        </w:tc>
        <w:tc>
          <w:tcPr>
            <w:tcW w:w="1165" w:type="dxa"/>
            <w:tcBorders>
              <w:top w:val="nil"/>
              <w:left w:val="nil"/>
              <w:bottom w:val="nil"/>
              <w:right w:val="nil"/>
            </w:tcBorders>
            <w:shd w:val="clear" w:color="auto" w:fill="auto"/>
            <w:vAlign w:val="center"/>
          </w:tcPr>
          <w:p w14:paraId="4881BA3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45 years</w:t>
            </w:r>
          </w:p>
        </w:tc>
        <w:tc>
          <w:tcPr>
            <w:tcW w:w="3855" w:type="dxa"/>
            <w:tcBorders>
              <w:top w:val="nil"/>
              <w:left w:val="nil"/>
              <w:bottom w:val="nil"/>
              <w:right w:val="nil"/>
            </w:tcBorders>
            <w:shd w:val="clear" w:color="auto" w:fill="auto"/>
            <w:vAlign w:val="center"/>
          </w:tcPr>
          <w:p w14:paraId="3737BD95">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Style w:val="47"/>
                <w:rFonts w:hint="default" w:ascii="Times New Roman" w:hAnsi="Times New Roman" w:eastAsia="宋体" w:cs="Times New Roman"/>
                <w:sz w:val="18"/>
                <w:szCs w:val="18"/>
                <w:lang w:val="en-US" w:eastAsia="zh-CN" w:bidi="ar"/>
              </w:rPr>
              <w:t>During aplasia, he developed signs of systemic</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infection (C-reactive protein 56 mg/L; temperature: 38.6°C). Em</w:t>
            </w:r>
            <w:r>
              <w:rPr>
                <w:rFonts w:hint="default" w:ascii="Times New Roman" w:hAnsi="Times New Roman" w:eastAsia="宋体" w:cs="Times New Roman"/>
                <w:i w:val="0"/>
                <w:iCs w:val="0"/>
                <w:color w:val="000000"/>
                <w:kern w:val="0"/>
                <w:sz w:val="18"/>
                <w:szCs w:val="18"/>
                <w:u w:val="none"/>
                <w:lang w:val="en-US" w:eastAsia="zh-CN" w:bidi="ar"/>
                <w14:ligatures w14:val="none"/>
              </w:rPr>
              <w:t>_</w:t>
            </w:r>
            <w:r>
              <w:rPr>
                <w:rStyle w:val="47"/>
                <w:rFonts w:hint="default" w:ascii="Times New Roman" w:hAnsi="Times New Roman" w:eastAsia="宋体" w:cs="Times New Roman"/>
                <w:sz w:val="18"/>
                <w:szCs w:val="18"/>
                <w:lang w:val="en-US" w:eastAsia="zh-CN" w:bidi="ar"/>
              </w:rPr>
              <w:t>x005f pirical antibiotic therapy with ceftazidim and daptom</w:t>
            </w:r>
            <w:r>
              <w:rPr>
                <w:rFonts w:hint="default" w:ascii="Times New Roman" w:hAnsi="Times New Roman" w:eastAsia="宋体" w:cs="Times New Roman"/>
                <w:i w:val="0"/>
                <w:iCs w:val="0"/>
                <w:color w:val="000000"/>
                <w:kern w:val="0"/>
                <w:sz w:val="18"/>
                <w:szCs w:val="18"/>
                <w:u w:val="none"/>
                <w:lang w:val="en-US" w:eastAsia="zh-CN" w:bidi="ar"/>
                <w14:ligatures w14:val="none"/>
              </w:rPr>
              <w:t>y</w:t>
            </w:r>
            <w:r>
              <w:rPr>
                <w:rStyle w:val="47"/>
                <w:rFonts w:hint="default" w:ascii="Times New Roman" w:hAnsi="Times New Roman" w:eastAsia="宋体" w:cs="Times New Roman"/>
                <w:sz w:val="18"/>
                <w:szCs w:val="18"/>
                <w:lang w:val="en-US" w:eastAsia="zh-CN" w:bidi="ar"/>
              </w:rPr>
              <w:t>cin was ini tiated, leading to clinical improvement. On day 5, however, the</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patient developed septic shock (lactate 2.9 mm</w:t>
            </w:r>
            <w:r>
              <w:rPr>
                <w:rStyle w:val="48"/>
                <w:rFonts w:hint="default" w:ascii="Times New Roman" w:hAnsi="Times New Roman" w:eastAsia="宋体" w:cs="Times New Roman"/>
                <w:sz w:val="18"/>
                <w:szCs w:val="18"/>
                <w:lang w:val="en-US" w:eastAsia="zh-CN" w:bidi="ar"/>
              </w:rPr>
              <w:t>o</w:t>
            </w:r>
            <w:r>
              <w:rPr>
                <w:rStyle w:val="47"/>
                <w:rFonts w:hint="default" w:ascii="Times New Roman" w:hAnsi="Times New Roman" w:eastAsia="宋体" w:cs="Times New Roman"/>
                <w:sz w:val="18"/>
                <w:szCs w:val="18"/>
                <w:lang w:val="en-US" w:eastAsia="zh-CN" w:bidi="ar"/>
              </w:rPr>
              <w:t>L/L, noradrenalin</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0.446μg/kg/min; C-reactive protein 228mg/L) and was transferred</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to the intensive care unit. Incision of a relapsed previously treated</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peri-anal abscess was performed and esc</w:t>
            </w:r>
            <w:r>
              <w:rPr>
                <w:rFonts w:hint="default" w:ascii="Times New Roman" w:hAnsi="Times New Roman" w:eastAsia="宋体" w:cs="Times New Roman"/>
                <w:i w:val="0"/>
                <w:iCs w:val="0"/>
                <w:color w:val="000000"/>
                <w:kern w:val="0"/>
                <w:sz w:val="18"/>
                <w:szCs w:val="18"/>
                <w:u w:val="none"/>
                <w:lang w:val="en-US" w:eastAsia="zh-CN" w:bidi="ar"/>
                <w14:ligatures w14:val="none"/>
              </w:rPr>
              <w:t>a</w:t>
            </w:r>
            <w:r>
              <w:rPr>
                <w:rStyle w:val="47"/>
                <w:rFonts w:hint="default" w:ascii="Times New Roman" w:hAnsi="Times New Roman" w:eastAsia="宋体" w:cs="Times New Roman"/>
                <w:sz w:val="18"/>
                <w:szCs w:val="18"/>
                <w:lang w:val="en-US" w:eastAsia="zh-CN" w:bidi="ar"/>
              </w:rPr>
              <w:t>lation of the antimicro bial therapy to meropenem according to institutional standards</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was initiated. A chest x-ray showed signs of atypical pneumonia,</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prompting addition of cotrimoxazole. Blood cultures drawn grew a</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MDR P. aeruginosa isolate (referred to as Pae-A). Pae-A was tested</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as resistant against piperacillin (MIC &gt;32 mg/L), ceftazidime (MIC</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16 mg/L), cefepime (MIC 16 mg/L), imipenem (MIC &gt;32 mg/L),</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meropenem (MIC &gt;32mg/L), and ciprofloxacin (MIC &gt;32mg/L), but</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was susceptible for cefideroco</w:t>
            </w:r>
            <w:r>
              <w:rPr>
                <w:rFonts w:hint="default" w:ascii="Times New Roman" w:hAnsi="Times New Roman" w:eastAsia="宋体" w:cs="Times New Roman"/>
                <w:i w:val="0"/>
                <w:iCs w:val="0"/>
                <w:color w:val="000000"/>
                <w:kern w:val="0"/>
                <w:sz w:val="18"/>
                <w:szCs w:val="18"/>
                <w:u w:val="none"/>
                <w:lang w:val="en-US" w:eastAsia="zh-CN" w:bidi="ar"/>
                <w14:ligatures w14:val="none"/>
              </w:rPr>
              <w:t>l</w:t>
            </w:r>
            <w:r>
              <w:rPr>
                <w:rStyle w:val="47"/>
                <w:rFonts w:hint="default" w:ascii="Times New Roman" w:hAnsi="Times New Roman" w:eastAsia="宋体" w:cs="Times New Roman"/>
                <w:sz w:val="18"/>
                <w:szCs w:val="18"/>
                <w:lang w:val="en-US" w:eastAsia="zh-CN" w:bidi="ar"/>
              </w:rPr>
              <w:t xml:space="preserve"> (agar diffusion inhibition zone di ameter 26 mm [Fig</w:t>
            </w:r>
            <w:r>
              <w:rPr>
                <w:rFonts w:hint="default" w:ascii="Times New Roman" w:hAnsi="Times New Roman" w:eastAsia="宋体" w:cs="Times New Roman"/>
                <w:i w:val="0"/>
                <w:iCs w:val="0"/>
                <w:color w:val="000000"/>
                <w:kern w:val="0"/>
                <w:sz w:val="18"/>
                <w:szCs w:val="18"/>
                <w:u w:val="none"/>
                <w:lang w:val="en-US" w:eastAsia="zh-CN" w:bidi="ar"/>
                <w14:ligatures w14:val="none"/>
              </w:rPr>
              <w:t>.</w:t>
            </w:r>
            <w:r>
              <w:rPr>
                <w:rStyle w:val="47"/>
                <w:rFonts w:hint="default" w:ascii="Times New Roman" w:hAnsi="Times New Roman" w:eastAsia="宋体" w:cs="Times New Roman"/>
                <w:sz w:val="18"/>
                <w:szCs w:val="18"/>
                <w:lang w:val="en-US" w:eastAsia="zh-CN" w:bidi="ar"/>
              </w:rPr>
              <w:t xml:space="preserve"> 1], MIC 0.064 mg/L). P. aeruginosa isolates ex hibiting identical resistance patterns were also recovered from anal</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wound swabs. Based on these findings, therapy was switched to</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cefiderocol on day 9. Responding to an acute kidney injury with a</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decreased glomerular filtration rate (eGFR [Cystatin C] 86 mL/min),</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the dose was set to 1 g every 8 h. The patient was referred to</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th</w:t>
            </w:r>
            <w:r>
              <w:rPr>
                <w:rFonts w:hint="default" w:ascii="Times New Roman" w:hAnsi="Times New Roman" w:eastAsia="宋体" w:cs="Times New Roman"/>
                <w:i w:val="0"/>
                <w:iCs w:val="0"/>
                <w:color w:val="000000"/>
                <w:kern w:val="0"/>
                <w:sz w:val="18"/>
                <w:szCs w:val="18"/>
                <w:u w:val="none"/>
                <w:lang w:val="en-US" w:eastAsia="zh-CN" w:bidi="ar"/>
                <w14:ligatures w14:val="none"/>
              </w:rPr>
              <w:t>e</w:t>
            </w:r>
            <w:r>
              <w:rPr>
                <w:rStyle w:val="47"/>
                <w:rFonts w:hint="default" w:ascii="Times New Roman" w:hAnsi="Times New Roman" w:eastAsia="宋体" w:cs="Times New Roman"/>
                <w:sz w:val="18"/>
                <w:szCs w:val="18"/>
                <w:lang w:val="en-US" w:eastAsia="zh-CN" w:bidi="ar"/>
              </w:rPr>
              <w:t xml:space="preserve"> general ward on day 18. On day 20, eleven days after init</w:t>
            </w:r>
            <w:r>
              <w:rPr>
                <w:rFonts w:hint="default" w:ascii="Times New Roman" w:hAnsi="Times New Roman" w:eastAsia="宋体" w:cs="Times New Roman"/>
                <w:i w:val="0"/>
                <w:iCs w:val="0"/>
                <w:color w:val="000000"/>
                <w:kern w:val="0"/>
                <w:sz w:val="18"/>
                <w:szCs w:val="18"/>
                <w:u w:val="none"/>
                <w:lang w:val="en-US" w:eastAsia="zh-CN" w:bidi="ar"/>
                <w14:ligatures w14:val="none"/>
              </w:rPr>
              <w:t>i</w:t>
            </w:r>
            <w:r>
              <w:rPr>
                <w:rStyle w:val="47"/>
                <w:rFonts w:hint="default" w:ascii="Times New Roman" w:hAnsi="Times New Roman" w:eastAsia="宋体" w:cs="Times New Roman"/>
                <w:sz w:val="18"/>
                <w:szCs w:val="18"/>
                <w:lang w:val="en-US" w:eastAsia="zh-CN" w:bidi="ar"/>
              </w:rPr>
              <w:t xml:space="preserve"> ation of cefiderocol treatment, an MDR P. aeruginosa isolate (re ferred to as Pae-B) was recovered from a follow-up anal wound</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swab. Compared to Pae-A, Pae-B exhibited a cefiderocol-resistant</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phenotype on agar diffusion (cefiderocol inhibition zone diameter</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12 mm; Fig. 1), exhibiting a 32-fold cefiderocol</w:t>
            </w: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 </w:t>
            </w:r>
            <w:r>
              <w:rPr>
                <w:rStyle w:val="47"/>
                <w:rFonts w:hint="default" w:ascii="Times New Roman" w:hAnsi="Times New Roman" w:eastAsia="宋体" w:cs="Times New Roman"/>
                <w:sz w:val="18"/>
                <w:szCs w:val="18"/>
                <w:lang w:val="en-US" w:eastAsia="zh-CN" w:bidi="ar"/>
              </w:rPr>
              <w:t>MIC increase (MIC</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2 mg/L). On day 25, the patient developed septic shock, was trans ferred back to the ICU, and catecholamine therapy was initiated.</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Colistin was added in addition to ce</w:t>
            </w:r>
            <w:r>
              <w:rPr>
                <w:rFonts w:hint="default" w:ascii="Times New Roman" w:hAnsi="Times New Roman" w:eastAsia="宋体" w:cs="Times New Roman"/>
                <w:i w:val="0"/>
                <w:iCs w:val="0"/>
                <w:color w:val="000000"/>
                <w:kern w:val="0"/>
                <w:sz w:val="18"/>
                <w:szCs w:val="18"/>
                <w:u w:val="none"/>
                <w:lang w:val="en-US" w:eastAsia="zh-CN" w:bidi="ar"/>
                <w14:ligatures w14:val="none"/>
              </w:rPr>
              <w:t>f</w:t>
            </w:r>
            <w:r>
              <w:rPr>
                <w:rStyle w:val="47"/>
                <w:rFonts w:hint="default" w:ascii="Times New Roman" w:hAnsi="Times New Roman" w:eastAsia="宋体" w:cs="Times New Roman"/>
                <w:sz w:val="18"/>
                <w:szCs w:val="18"/>
                <w:lang w:val="en-US" w:eastAsia="zh-CN" w:bidi="ar"/>
              </w:rPr>
              <w:t>iderocol. Because of the poor</w:t>
            </w:r>
            <w:r>
              <w:rPr>
                <w:rStyle w:val="47"/>
                <w:rFonts w:hint="default" w:ascii="Times New Roman" w:hAnsi="Times New Roman" w:eastAsia="宋体" w:cs="Times New Roman"/>
                <w:sz w:val="18"/>
                <w:szCs w:val="18"/>
                <w:lang w:val="en-US" w:eastAsia="zh-CN" w:bidi="ar"/>
              </w:rPr>
              <w:br w:type="textWrapping"/>
            </w:r>
            <w:r>
              <w:rPr>
                <w:rStyle w:val="47"/>
                <w:rFonts w:hint="default" w:ascii="Times New Roman" w:hAnsi="Times New Roman" w:eastAsia="宋体" w:cs="Times New Roman"/>
                <w:sz w:val="18"/>
                <w:szCs w:val="18"/>
                <w:lang w:val="en-US" w:eastAsia="zh-CN" w:bidi="ar"/>
              </w:rPr>
              <w:t>overall prognosis, best comfort care was agreed upon with the rel atives and the patient died shortly thereafter.</w:t>
            </w:r>
          </w:p>
        </w:tc>
        <w:tc>
          <w:tcPr>
            <w:tcW w:w="2015" w:type="dxa"/>
            <w:tcBorders>
              <w:top w:val="nil"/>
              <w:left w:val="nil"/>
              <w:bottom w:val="nil"/>
              <w:right w:val="nil"/>
            </w:tcBorders>
            <w:shd w:val="clear" w:color="auto" w:fill="auto"/>
            <w:vAlign w:val="center"/>
          </w:tcPr>
          <w:p w14:paraId="2958A82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The reported case highlights the potentially rapid emergence of cefiderocol resistance in P. aeruginosa and points towards a potential involvement of iron up-take systems in this proces.</w:t>
            </w:r>
          </w:p>
        </w:tc>
      </w:tr>
      <w:tr w14:paraId="1CB4C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949" w:type="dxa"/>
            <w:tcBorders>
              <w:top w:val="nil"/>
              <w:left w:val="nil"/>
              <w:bottom w:val="nil"/>
              <w:right w:val="nil"/>
            </w:tcBorders>
            <w:shd w:val="clear" w:color="auto" w:fill="auto"/>
            <w:vAlign w:val="center"/>
          </w:tcPr>
          <w:p w14:paraId="2F2A61F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Ding 2023</w:t>
            </w:r>
          </w:p>
        </w:tc>
        <w:tc>
          <w:tcPr>
            <w:tcW w:w="956" w:type="dxa"/>
            <w:tcBorders>
              <w:top w:val="nil"/>
              <w:left w:val="nil"/>
              <w:bottom w:val="nil"/>
              <w:right w:val="nil"/>
            </w:tcBorders>
            <w:shd w:val="clear" w:color="auto" w:fill="auto"/>
            <w:vAlign w:val="center"/>
          </w:tcPr>
          <w:p w14:paraId="04608D6E">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case report</w:t>
            </w:r>
          </w:p>
        </w:tc>
        <w:tc>
          <w:tcPr>
            <w:tcW w:w="1000" w:type="dxa"/>
            <w:tcBorders>
              <w:top w:val="nil"/>
              <w:left w:val="nil"/>
              <w:bottom w:val="nil"/>
              <w:right w:val="nil"/>
            </w:tcBorders>
            <w:shd w:val="clear" w:color="auto" w:fill="auto"/>
            <w:vAlign w:val="center"/>
          </w:tcPr>
          <w:p w14:paraId="498A59B6">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w:t>
            </w:r>
          </w:p>
        </w:tc>
        <w:tc>
          <w:tcPr>
            <w:tcW w:w="1033" w:type="dxa"/>
            <w:tcBorders>
              <w:top w:val="nil"/>
              <w:left w:val="nil"/>
              <w:bottom w:val="nil"/>
              <w:right w:val="nil"/>
            </w:tcBorders>
            <w:shd w:val="clear" w:color="auto" w:fill="auto"/>
            <w:vAlign w:val="center"/>
          </w:tcPr>
          <w:p w14:paraId="3A32046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China</w:t>
            </w:r>
          </w:p>
        </w:tc>
        <w:tc>
          <w:tcPr>
            <w:tcW w:w="1711" w:type="dxa"/>
            <w:tcBorders>
              <w:top w:val="nil"/>
              <w:left w:val="nil"/>
              <w:bottom w:val="nil"/>
              <w:right w:val="nil"/>
            </w:tcBorders>
            <w:shd w:val="clear" w:color="auto" w:fill="auto"/>
            <w:vAlign w:val="center"/>
          </w:tcPr>
          <w:p w14:paraId="0ED5C3D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This study aimed to identify the genetic differences between two P. aeruginosa isolates and uncover alterations formed by the within-host bacterial evolution leading to aztreonam resistance during therapy.</w:t>
            </w:r>
          </w:p>
        </w:tc>
        <w:tc>
          <w:tcPr>
            <w:tcW w:w="1702" w:type="dxa"/>
            <w:tcBorders>
              <w:top w:val="nil"/>
              <w:left w:val="nil"/>
              <w:bottom w:val="nil"/>
              <w:right w:val="nil"/>
            </w:tcBorders>
            <w:shd w:val="clear" w:color="auto" w:fill="auto"/>
            <w:vAlign w:val="center"/>
          </w:tcPr>
          <w:p w14:paraId="6771C84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Meropenem-resistant P. aeruginosa</w:t>
            </w:r>
          </w:p>
        </w:tc>
        <w:tc>
          <w:tcPr>
            <w:tcW w:w="1480" w:type="dxa"/>
            <w:tcBorders>
              <w:top w:val="nil"/>
              <w:left w:val="nil"/>
              <w:bottom w:val="nil"/>
              <w:right w:val="nil"/>
            </w:tcBorders>
            <w:shd w:val="clear" w:color="auto" w:fill="auto"/>
            <w:vAlign w:val="center"/>
          </w:tcPr>
          <w:p w14:paraId="6B504312">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NR</w:t>
            </w:r>
          </w:p>
        </w:tc>
        <w:tc>
          <w:tcPr>
            <w:tcW w:w="1165" w:type="dxa"/>
            <w:tcBorders>
              <w:top w:val="nil"/>
              <w:left w:val="nil"/>
              <w:bottom w:val="nil"/>
              <w:right w:val="nil"/>
            </w:tcBorders>
            <w:shd w:val="clear" w:color="auto" w:fill="auto"/>
            <w:vAlign w:val="center"/>
          </w:tcPr>
          <w:p w14:paraId="7E9F797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NR</w:t>
            </w:r>
          </w:p>
        </w:tc>
        <w:tc>
          <w:tcPr>
            <w:tcW w:w="3855" w:type="dxa"/>
            <w:tcBorders>
              <w:top w:val="nil"/>
              <w:left w:val="nil"/>
              <w:bottom w:val="nil"/>
              <w:right w:val="nil"/>
            </w:tcBorders>
            <w:shd w:val="clear" w:color="auto" w:fill="auto"/>
            <w:vAlign w:val="center"/>
          </w:tcPr>
          <w:p w14:paraId="46F769E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Aztreonam</w:t>
            </w:r>
          </w:p>
        </w:tc>
        <w:tc>
          <w:tcPr>
            <w:tcW w:w="2015" w:type="dxa"/>
            <w:tcBorders>
              <w:top w:val="nil"/>
              <w:left w:val="nil"/>
              <w:bottom w:val="nil"/>
              <w:right w:val="nil"/>
            </w:tcBorders>
            <w:shd w:val="clear" w:color="auto" w:fill="auto"/>
            <w:vAlign w:val="center"/>
          </w:tcPr>
          <w:p w14:paraId="1B55AE5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In this study, two P. aeruginosa strains isolated from the same patient with different susceptibility to aztreonam were used to illustrate the within-host resistance evolution process of P. aeruginosa. BFrist was susceptible to aztreonam, while the second displayed resistance. ampR plays an essential role in regulating antibiotic resistance in P. aeruginosa.</w:t>
            </w:r>
          </w:p>
        </w:tc>
      </w:tr>
      <w:tr w14:paraId="6A916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49" w:type="dxa"/>
            <w:tcBorders>
              <w:top w:val="nil"/>
              <w:left w:val="nil"/>
              <w:bottom w:val="nil"/>
              <w:right w:val="nil"/>
            </w:tcBorders>
            <w:shd w:val="clear" w:color="auto" w:fill="auto"/>
            <w:vAlign w:val="center"/>
          </w:tcPr>
          <w:p w14:paraId="713B8D9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Sadek 2023</w:t>
            </w:r>
          </w:p>
        </w:tc>
        <w:tc>
          <w:tcPr>
            <w:tcW w:w="956" w:type="dxa"/>
            <w:tcBorders>
              <w:top w:val="nil"/>
              <w:left w:val="nil"/>
              <w:bottom w:val="nil"/>
              <w:right w:val="nil"/>
            </w:tcBorders>
            <w:shd w:val="clear" w:color="auto" w:fill="auto"/>
            <w:vAlign w:val="center"/>
          </w:tcPr>
          <w:p w14:paraId="32F3B615">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Case report</w:t>
            </w:r>
          </w:p>
        </w:tc>
        <w:tc>
          <w:tcPr>
            <w:tcW w:w="1000" w:type="dxa"/>
            <w:tcBorders>
              <w:top w:val="nil"/>
              <w:left w:val="nil"/>
              <w:bottom w:val="nil"/>
              <w:right w:val="nil"/>
            </w:tcBorders>
            <w:shd w:val="clear" w:color="auto" w:fill="auto"/>
            <w:vAlign w:val="center"/>
          </w:tcPr>
          <w:p w14:paraId="3514FC13">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w:t>
            </w:r>
          </w:p>
        </w:tc>
        <w:tc>
          <w:tcPr>
            <w:tcW w:w="1033" w:type="dxa"/>
            <w:tcBorders>
              <w:top w:val="nil"/>
              <w:left w:val="nil"/>
              <w:bottom w:val="nil"/>
              <w:right w:val="nil"/>
            </w:tcBorders>
            <w:shd w:val="clear" w:color="auto" w:fill="auto"/>
            <w:vAlign w:val="center"/>
          </w:tcPr>
          <w:p w14:paraId="00A9FFA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France</w:t>
            </w:r>
          </w:p>
        </w:tc>
        <w:tc>
          <w:tcPr>
            <w:tcW w:w="1711" w:type="dxa"/>
            <w:tcBorders>
              <w:top w:val="nil"/>
              <w:left w:val="nil"/>
              <w:bottom w:val="nil"/>
              <w:right w:val="nil"/>
            </w:tcBorders>
            <w:shd w:val="clear" w:color="auto" w:fill="auto"/>
            <w:vAlign w:val="center"/>
          </w:tcPr>
          <w:p w14:paraId="5E543EE5">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We report in vivo development of cefderocol (FDC) resistance among four sequential Pseudomonas aeruginosa clinical isolates ST244 recovered from a single patient, without exposure to FDC, which raises concern about the efectiveness of this novel drug.</w:t>
            </w:r>
          </w:p>
        </w:tc>
        <w:tc>
          <w:tcPr>
            <w:tcW w:w="1702" w:type="dxa"/>
            <w:tcBorders>
              <w:top w:val="nil"/>
              <w:left w:val="nil"/>
              <w:bottom w:val="nil"/>
              <w:right w:val="nil"/>
            </w:tcBorders>
            <w:shd w:val="clear" w:color="auto" w:fill="auto"/>
            <w:vAlign w:val="center"/>
          </w:tcPr>
          <w:p w14:paraId="11717FB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CR-PA</w:t>
            </w:r>
          </w:p>
        </w:tc>
        <w:tc>
          <w:tcPr>
            <w:tcW w:w="1480" w:type="dxa"/>
            <w:tcBorders>
              <w:top w:val="nil"/>
              <w:left w:val="nil"/>
              <w:bottom w:val="nil"/>
              <w:right w:val="nil"/>
            </w:tcBorders>
            <w:shd w:val="clear" w:color="auto" w:fill="auto"/>
            <w:vAlign w:val="center"/>
          </w:tcPr>
          <w:p w14:paraId="404AAE8F">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VAP</w:t>
            </w:r>
          </w:p>
        </w:tc>
        <w:tc>
          <w:tcPr>
            <w:tcW w:w="1165" w:type="dxa"/>
            <w:tcBorders>
              <w:top w:val="nil"/>
              <w:left w:val="nil"/>
              <w:bottom w:val="nil"/>
              <w:right w:val="nil"/>
            </w:tcBorders>
            <w:shd w:val="clear" w:color="auto" w:fill="auto"/>
            <w:vAlign w:val="center"/>
          </w:tcPr>
          <w:p w14:paraId="4FD9D5D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65 years</w:t>
            </w:r>
          </w:p>
        </w:tc>
        <w:tc>
          <w:tcPr>
            <w:tcW w:w="3855" w:type="dxa"/>
            <w:tcBorders>
              <w:top w:val="nil"/>
              <w:left w:val="nil"/>
              <w:bottom w:val="nil"/>
              <w:right w:val="nil"/>
            </w:tcBorders>
            <w:shd w:val="clear" w:color="auto" w:fill="auto"/>
            <w:vAlign w:val="center"/>
          </w:tcPr>
          <w:p w14:paraId="6D6788B6">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Style w:val="47"/>
                <w:rFonts w:hint="default" w:ascii="Times New Roman" w:hAnsi="Times New Roman" w:eastAsia="宋体" w:cs="Times New Roman"/>
                <w:sz w:val="18"/>
                <w:szCs w:val="18"/>
                <w:lang w:val="en-US" w:eastAsia="zh-CN" w:bidi="ar"/>
              </w:rPr>
              <w:t xml:space="preserve">This patient developed ventilator-acquired pneumonia, for which four sequential clinical isolates of P. aeruginosa (P-01, P-02, P-03, and P-04) were recovered over a period of 3 weeks.  The frst and second isolates (P-01 and P-02) were from tracheal aspirate samples during the frst week of ventilator-associated pneumonia.  The second isolate (P-02) was already resistant to all tested </w:t>
            </w:r>
            <w:r>
              <w:rPr>
                <w:rStyle w:val="49"/>
                <w:rFonts w:hint="default" w:ascii="Times New Roman" w:hAnsi="Times New Roman" w:eastAsia="宋体" w:cs="Times New Roman"/>
                <w:sz w:val="18"/>
                <w:szCs w:val="18"/>
                <w:lang w:val="en-US" w:eastAsia="zh-CN" w:bidi="ar"/>
              </w:rPr>
              <w:t>β</w:t>
            </w:r>
            <w:r>
              <w:rPr>
                <w:rStyle w:val="47"/>
                <w:rFonts w:hint="default" w:ascii="Times New Roman" w:hAnsi="Times New Roman" w:eastAsia="宋体" w:cs="Times New Roman"/>
                <w:sz w:val="18"/>
                <w:szCs w:val="18"/>
                <w:lang w:val="en-US" w:eastAsia="zh-CN" w:bidi="ar"/>
              </w:rPr>
              <w:t>-lactams except ceftolozane-tazobactam (C/T).  The patient was treated with meropenem (1 g q8h) IV associated with colistin IV (9 MUI q12h) because C/T was unavailable due to long term drug shortage.  The third and fourth isolates (P-03 and P-04) were recovered from tracheal aspirate samples during the second and third week of treatment, respectively.</w:t>
            </w:r>
          </w:p>
        </w:tc>
        <w:tc>
          <w:tcPr>
            <w:tcW w:w="2015" w:type="dxa"/>
            <w:tcBorders>
              <w:top w:val="nil"/>
              <w:left w:val="nil"/>
              <w:bottom w:val="nil"/>
              <w:right w:val="nil"/>
            </w:tcBorders>
            <w:shd w:val="clear" w:color="auto" w:fill="auto"/>
            <w:vAlign w:val="center"/>
          </w:tcPr>
          <w:p w14:paraId="5031437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Style w:val="47"/>
                <w:rFonts w:hint="default" w:ascii="Times New Roman" w:hAnsi="Times New Roman" w:eastAsia="宋体" w:cs="Times New Roman"/>
                <w:sz w:val="18"/>
                <w:szCs w:val="18"/>
                <w:lang w:val="en-US" w:eastAsia="zh-CN" w:bidi="ar"/>
              </w:rPr>
              <w:t xml:space="preserve">The frst recovered P. aeruginosa isolate (P-01) was susceptible to FDC (2 </w:t>
            </w:r>
            <w:r>
              <w:rPr>
                <w:rStyle w:val="49"/>
                <w:rFonts w:hint="default" w:ascii="Times New Roman" w:hAnsi="Times New Roman" w:eastAsia="宋体" w:cs="Times New Roman"/>
                <w:sz w:val="18"/>
                <w:szCs w:val="18"/>
                <w:lang w:val="en-US" w:eastAsia="zh-CN" w:bidi="ar"/>
              </w:rPr>
              <w:t>μ</w:t>
            </w:r>
            <w:r>
              <w:rPr>
                <w:rStyle w:val="47"/>
                <w:rFonts w:hint="default" w:ascii="Times New Roman" w:hAnsi="Times New Roman" w:eastAsia="宋体" w:cs="Times New Roman"/>
                <w:sz w:val="18"/>
                <w:szCs w:val="18"/>
                <w:lang w:val="en-US" w:eastAsia="zh-CN" w:bidi="ar"/>
              </w:rPr>
              <w:t xml:space="preserve">g/mL), albeit this MIC value was  higher than that of a wild-type P. aeruginosa (0.12–0.25 </w:t>
            </w:r>
            <w:r>
              <w:rPr>
                <w:rStyle w:val="49"/>
                <w:rFonts w:hint="default" w:ascii="Times New Roman" w:hAnsi="Times New Roman" w:eastAsia="宋体" w:cs="Times New Roman"/>
                <w:sz w:val="18"/>
                <w:szCs w:val="18"/>
                <w:lang w:val="en-US" w:eastAsia="zh-CN" w:bidi="ar"/>
              </w:rPr>
              <w:t>μ</w:t>
            </w:r>
            <w:r>
              <w:rPr>
                <w:rStyle w:val="47"/>
                <w:rFonts w:hint="default" w:ascii="Times New Roman" w:hAnsi="Times New Roman" w:eastAsia="宋体" w:cs="Times New Roman"/>
                <w:sz w:val="18"/>
                <w:szCs w:val="18"/>
                <w:lang w:val="en-US" w:eastAsia="zh-CN" w:bidi="ar"/>
              </w:rPr>
              <w:t>g/ml). These fndings highlight that a susceptibility testing to FDC must be performed prior to any prescription.</w:t>
            </w:r>
          </w:p>
        </w:tc>
      </w:tr>
      <w:tr w14:paraId="5FC6D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949" w:type="dxa"/>
            <w:tcBorders>
              <w:top w:val="nil"/>
              <w:left w:val="nil"/>
              <w:bottom w:val="nil"/>
              <w:right w:val="nil"/>
            </w:tcBorders>
            <w:shd w:val="clear" w:color="auto" w:fill="auto"/>
            <w:vAlign w:val="center"/>
          </w:tcPr>
          <w:p w14:paraId="074C6C5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Arca-Sua´rez </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2020</w:t>
            </w:r>
          </w:p>
        </w:tc>
        <w:tc>
          <w:tcPr>
            <w:tcW w:w="956" w:type="dxa"/>
            <w:tcBorders>
              <w:top w:val="nil"/>
              <w:left w:val="nil"/>
              <w:bottom w:val="nil"/>
              <w:right w:val="nil"/>
            </w:tcBorders>
            <w:shd w:val="clear" w:color="auto" w:fill="auto"/>
            <w:vAlign w:val="center"/>
          </w:tcPr>
          <w:p w14:paraId="6985AF09">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Case series</w:t>
            </w:r>
          </w:p>
        </w:tc>
        <w:tc>
          <w:tcPr>
            <w:tcW w:w="1000" w:type="dxa"/>
            <w:tcBorders>
              <w:top w:val="nil"/>
              <w:left w:val="nil"/>
              <w:bottom w:val="nil"/>
              <w:right w:val="nil"/>
            </w:tcBorders>
            <w:shd w:val="clear" w:color="auto" w:fill="auto"/>
            <w:vAlign w:val="center"/>
          </w:tcPr>
          <w:p w14:paraId="6AC296A6">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4</w:t>
            </w:r>
          </w:p>
        </w:tc>
        <w:tc>
          <w:tcPr>
            <w:tcW w:w="1033" w:type="dxa"/>
            <w:tcBorders>
              <w:top w:val="nil"/>
              <w:left w:val="nil"/>
              <w:bottom w:val="nil"/>
              <w:right w:val="nil"/>
            </w:tcBorders>
            <w:shd w:val="clear" w:color="auto" w:fill="auto"/>
            <w:vAlign w:val="center"/>
          </w:tcPr>
          <w:p w14:paraId="5A2CD53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Spain</w:t>
            </w:r>
          </w:p>
        </w:tc>
        <w:tc>
          <w:tcPr>
            <w:tcW w:w="1711" w:type="dxa"/>
            <w:tcBorders>
              <w:top w:val="nil"/>
              <w:left w:val="nil"/>
              <w:bottom w:val="nil"/>
              <w:right w:val="nil"/>
            </w:tcBorders>
            <w:shd w:val="clear" w:color="auto" w:fill="auto"/>
            <w:vAlign w:val="center"/>
          </w:tcPr>
          <w:p w14:paraId="57D1AF9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Characterization of the mechanisms leading to the development of OXA-10-mediated resistance to</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ceftolozane/tazobactam and ceftazidime/avibactam during treatment of XDR P. aeruginosa infections.</w:t>
            </w:r>
          </w:p>
        </w:tc>
        <w:tc>
          <w:tcPr>
            <w:tcW w:w="1702" w:type="dxa"/>
            <w:tcBorders>
              <w:top w:val="nil"/>
              <w:left w:val="nil"/>
              <w:bottom w:val="nil"/>
              <w:right w:val="nil"/>
            </w:tcBorders>
            <w:shd w:val="clear" w:color="auto" w:fill="auto"/>
            <w:vAlign w:val="center"/>
          </w:tcPr>
          <w:p w14:paraId="3439C322">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MDR-PA</w:t>
            </w:r>
          </w:p>
        </w:tc>
        <w:tc>
          <w:tcPr>
            <w:tcW w:w="1480" w:type="dxa"/>
            <w:tcBorders>
              <w:top w:val="nil"/>
              <w:left w:val="nil"/>
              <w:bottom w:val="nil"/>
              <w:right w:val="nil"/>
            </w:tcBorders>
            <w:shd w:val="clear" w:color="auto" w:fill="auto"/>
            <w:vAlign w:val="center"/>
          </w:tcPr>
          <w:p w14:paraId="4BA2599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NR</w:t>
            </w:r>
          </w:p>
        </w:tc>
        <w:tc>
          <w:tcPr>
            <w:tcW w:w="1165" w:type="dxa"/>
            <w:tcBorders>
              <w:top w:val="nil"/>
              <w:left w:val="nil"/>
              <w:bottom w:val="nil"/>
              <w:right w:val="nil"/>
            </w:tcBorders>
            <w:shd w:val="clear" w:color="auto" w:fill="auto"/>
            <w:vAlign w:val="center"/>
          </w:tcPr>
          <w:p w14:paraId="47DE0D85">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NR</w:t>
            </w:r>
          </w:p>
        </w:tc>
        <w:tc>
          <w:tcPr>
            <w:tcW w:w="3855" w:type="dxa"/>
            <w:tcBorders>
              <w:top w:val="nil"/>
              <w:left w:val="nil"/>
              <w:bottom w:val="nil"/>
              <w:right w:val="nil"/>
            </w:tcBorders>
            <w:shd w:val="clear" w:color="auto" w:fill="auto"/>
            <w:vAlign w:val="center"/>
          </w:tcPr>
          <w:p w14:paraId="0FD41CD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The length of treatment ranged from 8 to  21 days, with an average duration of 15 days, and always included a cephalosporin (usually ceftazidime or ceftolozane/tazobactam) in combination with other antipseudomonals. In all</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cases, the susceptible/resistant isolates were clonally related and</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were assigned by MLST to the high-risk international clone ST253</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(PA14-like), characterized by increasing dissemination in different</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European countries</w:t>
            </w:r>
          </w:p>
        </w:tc>
        <w:tc>
          <w:tcPr>
            <w:tcW w:w="2015" w:type="dxa"/>
            <w:tcBorders>
              <w:top w:val="nil"/>
              <w:left w:val="nil"/>
              <w:bottom w:val="nil"/>
              <w:right w:val="nil"/>
            </w:tcBorders>
            <w:shd w:val="clear" w:color="auto" w:fill="auto"/>
            <w:vAlign w:val="center"/>
          </w:tcPr>
          <w:p w14:paraId="35C95F06">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During treatment, the isolates developed resistance to all</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cephalosporins.</w:t>
            </w:r>
          </w:p>
        </w:tc>
      </w:tr>
      <w:tr w14:paraId="046C6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949" w:type="dxa"/>
            <w:tcBorders>
              <w:top w:val="nil"/>
              <w:left w:val="nil"/>
              <w:bottom w:val="single" w:color="000000" w:sz="12" w:space="0"/>
              <w:right w:val="nil"/>
            </w:tcBorders>
            <w:shd w:val="clear" w:color="auto" w:fill="auto"/>
            <w:vAlign w:val="center"/>
          </w:tcPr>
          <w:p w14:paraId="0F05974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Shields 2022</w:t>
            </w:r>
          </w:p>
        </w:tc>
        <w:tc>
          <w:tcPr>
            <w:tcW w:w="956" w:type="dxa"/>
            <w:tcBorders>
              <w:top w:val="nil"/>
              <w:left w:val="nil"/>
              <w:bottom w:val="single" w:color="000000" w:sz="12" w:space="0"/>
              <w:right w:val="nil"/>
            </w:tcBorders>
            <w:shd w:val="clear" w:color="auto" w:fill="auto"/>
            <w:vAlign w:val="center"/>
          </w:tcPr>
          <w:p w14:paraId="215FB1B4">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Case series</w:t>
            </w:r>
          </w:p>
        </w:tc>
        <w:tc>
          <w:tcPr>
            <w:tcW w:w="1000" w:type="dxa"/>
            <w:tcBorders>
              <w:top w:val="nil"/>
              <w:left w:val="nil"/>
              <w:bottom w:val="single" w:color="000000" w:sz="12" w:space="0"/>
              <w:right w:val="nil"/>
            </w:tcBorders>
            <w:shd w:val="clear" w:color="auto" w:fill="auto"/>
            <w:vAlign w:val="center"/>
          </w:tcPr>
          <w:p w14:paraId="75A89C61">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5</w:t>
            </w:r>
          </w:p>
        </w:tc>
        <w:tc>
          <w:tcPr>
            <w:tcW w:w="1033" w:type="dxa"/>
            <w:tcBorders>
              <w:top w:val="nil"/>
              <w:left w:val="nil"/>
              <w:bottom w:val="single" w:color="000000" w:sz="12" w:space="0"/>
              <w:right w:val="nil"/>
            </w:tcBorders>
            <w:shd w:val="clear" w:color="auto" w:fill="auto"/>
            <w:vAlign w:val="center"/>
          </w:tcPr>
          <w:p w14:paraId="1DA80D7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USA</w:t>
            </w:r>
          </w:p>
        </w:tc>
        <w:tc>
          <w:tcPr>
            <w:tcW w:w="1711" w:type="dxa"/>
            <w:tcBorders>
              <w:top w:val="nil"/>
              <w:left w:val="nil"/>
              <w:bottom w:val="single" w:color="000000" w:sz="12" w:space="0"/>
              <w:right w:val="nil"/>
            </w:tcBorders>
            <w:shd w:val="clear" w:color="auto" w:fill="auto"/>
            <w:vAlign w:val="center"/>
          </w:tcPr>
          <w:p w14:paraId="6943FA7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We report the emergence of imipenem-relebactam nonsusceptible Pseudomonas aeruginosa in 5 patients treated for nosocomial pneumonia for 10–28 days.</w:t>
            </w:r>
          </w:p>
        </w:tc>
        <w:tc>
          <w:tcPr>
            <w:tcW w:w="1702" w:type="dxa"/>
            <w:tcBorders>
              <w:top w:val="nil"/>
              <w:left w:val="nil"/>
              <w:bottom w:val="single" w:color="000000" w:sz="12" w:space="0"/>
              <w:right w:val="nil"/>
            </w:tcBorders>
            <w:shd w:val="clear" w:color="auto" w:fill="auto"/>
            <w:vAlign w:val="center"/>
          </w:tcPr>
          <w:p w14:paraId="656EA4CD">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MDR-PA</w:t>
            </w:r>
          </w:p>
        </w:tc>
        <w:tc>
          <w:tcPr>
            <w:tcW w:w="1480" w:type="dxa"/>
            <w:tcBorders>
              <w:top w:val="nil"/>
              <w:left w:val="nil"/>
              <w:bottom w:val="single" w:color="000000" w:sz="12" w:space="0"/>
              <w:right w:val="nil"/>
            </w:tcBorders>
            <w:shd w:val="clear" w:color="auto" w:fill="auto"/>
            <w:vAlign w:val="center"/>
          </w:tcPr>
          <w:p w14:paraId="27D7FDE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Pneumonia</w:t>
            </w:r>
          </w:p>
        </w:tc>
        <w:tc>
          <w:tcPr>
            <w:tcW w:w="1165" w:type="dxa"/>
            <w:tcBorders>
              <w:top w:val="nil"/>
              <w:left w:val="nil"/>
              <w:bottom w:val="single" w:color="000000" w:sz="12" w:space="0"/>
              <w:right w:val="nil"/>
            </w:tcBorders>
            <w:shd w:val="clear" w:color="auto" w:fill="auto"/>
            <w:vAlign w:val="center"/>
          </w:tcPr>
          <w:p w14:paraId="3F64745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Median：56 years</w:t>
            </w:r>
          </w:p>
        </w:tc>
        <w:tc>
          <w:tcPr>
            <w:tcW w:w="3855" w:type="dxa"/>
            <w:tcBorders>
              <w:top w:val="nil"/>
              <w:left w:val="nil"/>
              <w:bottom w:val="single" w:color="000000" w:sz="12" w:space="0"/>
              <w:right w:val="nil"/>
            </w:tcBorders>
            <w:shd w:val="clear" w:color="auto" w:fill="auto"/>
            <w:vAlign w:val="center"/>
          </w:tcPr>
          <w:p w14:paraId="0EE0D84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Treated with imipenem-relebactam for more than 48 hours</w:t>
            </w:r>
          </w:p>
        </w:tc>
        <w:tc>
          <w:tcPr>
            <w:tcW w:w="2015" w:type="dxa"/>
            <w:tcBorders>
              <w:top w:val="nil"/>
              <w:left w:val="nil"/>
              <w:bottom w:val="single" w:color="000000" w:sz="12" w:space="0"/>
              <w:right w:val="nil"/>
            </w:tcBorders>
            <w:shd w:val="clear" w:color="auto" w:fill="auto"/>
            <w:vAlign w:val="center"/>
          </w:tcPr>
          <w:p w14:paraId="12D05F40">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In MexAB OprM and/or MexEF-OprN efflux operons that arose independently in each patient across distinct P. aeruginosa sequence types.  Testing with efflux-inhibitor PAβN restored imipenem relebactam susceptibility</w:t>
            </w:r>
          </w:p>
        </w:tc>
      </w:tr>
      <w:tr w14:paraId="189DE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866" w:type="dxa"/>
            <w:gridSpan w:val="10"/>
            <w:tcBorders>
              <w:top w:val="nil"/>
              <w:left w:val="nil"/>
              <w:bottom w:val="nil"/>
              <w:right w:val="nil"/>
            </w:tcBorders>
            <w:shd w:val="clear" w:color="auto" w:fill="auto"/>
            <w:vAlign w:val="center"/>
          </w:tcPr>
          <w:p w14:paraId="56A8172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MDR-PA: Multidrug-Resistant Pseudomonas aeruginosa; CRPA： Carbapenem-resistant Pseudomonas aeruginosa; VAP: ventilator associated pneumonia;</w:t>
            </w:r>
          </w:p>
        </w:tc>
      </w:tr>
    </w:tbl>
    <w:p w14:paraId="0679143A">
      <w:pPr>
        <w:bidi w:val="0"/>
        <w:spacing w:before="0" w:beforeLines="0" w:after="0" w:afterLines="0"/>
      </w:pPr>
    </w:p>
    <w:p w14:paraId="2CF47177">
      <w:pPr>
        <w:pStyle w:val="37"/>
        <w:rPr>
          <w:rFonts w:hint="eastAsia"/>
        </w:rPr>
      </w:pPr>
      <w:bookmarkStart w:id="3" w:name="_Toc16970"/>
      <w:r>
        <w:rPr>
          <w:rFonts w:hint="eastAsia"/>
        </w:rPr>
        <w:t>表3B. 临床问题3纳入文献基线特-治疗过程中根据药物敏感性调整用药方案对临床结局的影响</w:t>
      </w:r>
      <w:bookmarkEnd w:id="3"/>
    </w:p>
    <w:tbl>
      <w:tblPr>
        <w:tblStyle w:val="15"/>
        <w:tblW w:w="1504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4"/>
        <w:gridCol w:w="942"/>
        <w:gridCol w:w="917"/>
        <w:gridCol w:w="967"/>
        <w:gridCol w:w="1884"/>
        <w:gridCol w:w="1835"/>
        <w:gridCol w:w="1628"/>
        <w:gridCol w:w="678"/>
        <w:gridCol w:w="2876"/>
        <w:gridCol w:w="2490"/>
      </w:tblGrid>
      <w:tr w14:paraId="2169A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0" w:hRule="atLeast"/>
          <w:tblHeader/>
          <w:jc w:val="center"/>
        </w:trPr>
        <w:tc>
          <w:tcPr>
            <w:tcW w:w="824" w:type="dxa"/>
            <w:tcBorders>
              <w:top w:val="single" w:color="000000" w:sz="12" w:space="0"/>
              <w:left w:val="nil"/>
              <w:bottom w:val="single" w:color="000000" w:sz="8" w:space="0"/>
              <w:right w:val="nil"/>
            </w:tcBorders>
            <w:shd w:val="clear" w:color="auto" w:fill="auto"/>
            <w:noWrap/>
            <w:vAlign w:val="center"/>
          </w:tcPr>
          <w:p w14:paraId="1F75F32F">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b/>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Study ID</w:t>
            </w:r>
          </w:p>
        </w:tc>
        <w:tc>
          <w:tcPr>
            <w:tcW w:w="942" w:type="dxa"/>
            <w:tcBorders>
              <w:top w:val="single" w:color="000000" w:sz="12" w:space="0"/>
              <w:left w:val="nil"/>
              <w:bottom w:val="single" w:color="000000" w:sz="8" w:space="0"/>
              <w:right w:val="nil"/>
            </w:tcBorders>
            <w:shd w:val="clear" w:color="auto" w:fill="auto"/>
            <w:noWrap/>
            <w:vAlign w:val="center"/>
          </w:tcPr>
          <w:p w14:paraId="655C541A">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b/>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Study Design</w:t>
            </w:r>
          </w:p>
        </w:tc>
        <w:tc>
          <w:tcPr>
            <w:tcW w:w="917" w:type="dxa"/>
            <w:tcBorders>
              <w:top w:val="single" w:color="000000" w:sz="12" w:space="0"/>
              <w:left w:val="nil"/>
              <w:bottom w:val="single" w:color="000000" w:sz="8" w:space="0"/>
              <w:right w:val="nil"/>
            </w:tcBorders>
            <w:shd w:val="clear" w:color="auto" w:fill="auto"/>
            <w:noWrap/>
            <w:vAlign w:val="center"/>
          </w:tcPr>
          <w:p w14:paraId="22385C32">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b/>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Sample Size</w:t>
            </w:r>
          </w:p>
        </w:tc>
        <w:tc>
          <w:tcPr>
            <w:tcW w:w="967" w:type="dxa"/>
            <w:tcBorders>
              <w:top w:val="single" w:color="000000" w:sz="12" w:space="0"/>
              <w:left w:val="nil"/>
              <w:bottom w:val="single" w:color="000000" w:sz="8" w:space="0"/>
              <w:right w:val="nil"/>
            </w:tcBorders>
            <w:shd w:val="clear" w:color="auto" w:fill="auto"/>
            <w:noWrap/>
            <w:vAlign w:val="center"/>
          </w:tcPr>
          <w:p w14:paraId="6D40F478">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b/>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Country</w:t>
            </w:r>
          </w:p>
        </w:tc>
        <w:tc>
          <w:tcPr>
            <w:tcW w:w="1884" w:type="dxa"/>
            <w:tcBorders>
              <w:top w:val="single" w:color="000000" w:sz="12" w:space="0"/>
              <w:left w:val="nil"/>
              <w:bottom w:val="single" w:color="000000" w:sz="8" w:space="0"/>
              <w:right w:val="nil"/>
            </w:tcBorders>
            <w:shd w:val="clear" w:color="auto" w:fill="auto"/>
            <w:noWrap/>
            <w:vAlign w:val="center"/>
          </w:tcPr>
          <w:p w14:paraId="0E3A252A">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b/>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Object</w:t>
            </w:r>
          </w:p>
        </w:tc>
        <w:tc>
          <w:tcPr>
            <w:tcW w:w="1835" w:type="dxa"/>
            <w:tcBorders>
              <w:top w:val="single" w:color="000000" w:sz="12" w:space="0"/>
              <w:left w:val="nil"/>
              <w:bottom w:val="single" w:color="000000" w:sz="8" w:space="0"/>
              <w:right w:val="nil"/>
            </w:tcBorders>
            <w:shd w:val="clear" w:color="auto" w:fill="auto"/>
            <w:noWrap/>
            <w:vAlign w:val="center"/>
          </w:tcPr>
          <w:p w14:paraId="14CE7624">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b/>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Pathogenic bacteria</w:t>
            </w:r>
          </w:p>
        </w:tc>
        <w:tc>
          <w:tcPr>
            <w:tcW w:w="1628" w:type="dxa"/>
            <w:tcBorders>
              <w:top w:val="single" w:color="000000" w:sz="12" w:space="0"/>
              <w:left w:val="nil"/>
              <w:bottom w:val="single" w:color="000000" w:sz="8" w:space="0"/>
              <w:right w:val="nil"/>
            </w:tcBorders>
            <w:shd w:val="clear" w:color="auto" w:fill="auto"/>
            <w:noWrap/>
            <w:vAlign w:val="center"/>
          </w:tcPr>
          <w:p w14:paraId="33151BF3">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b/>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Patients Disease</w:t>
            </w:r>
          </w:p>
        </w:tc>
        <w:tc>
          <w:tcPr>
            <w:tcW w:w="678" w:type="dxa"/>
            <w:tcBorders>
              <w:top w:val="single" w:color="000000" w:sz="12" w:space="0"/>
              <w:left w:val="nil"/>
              <w:bottom w:val="single" w:color="000000" w:sz="8" w:space="0"/>
              <w:right w:val="nil"/>
            </w:tcBorders>
            <w:shd w:val="clear" w:color="auto" w:fill="auto"/>
            <w:noWrap/>
            <w:vAlign w:val="center"/>
          </w:tcPr>
          <w:p w14:paraId="6B41E64F">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b/>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Age</w:t>
            </w:r>
          </w:p>
        </w:tc>
        <w:tc>
          <w:tcPr>
            <w:tcW w:w="2876" w:type="dxa"/>
            <w:tcBorders>
              <w:top w:val="single" w:color="000000" w:sz="12" w:space="0"/>
              <w:left w:val="nil"/>
              <w:bottom w:val="single" w:color="000000" w:sz="8" w:space="0"/>
              <w:right w:val="nil"/>
            </w:tcBorders>
            <w:shd w:val="clear" w:color="auto" w:fill="auto"/>
            <w:noWrap/>
            <w:vAlign w:val="center"/>
          </w:tcPr>
          <w:p w14:paraId="40DDCECA">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b/>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Intervention: Dosage, Frequency, Duration</w:t>
            </w:r>
          </w:p>
        </w:tc>
        <w:tc>
          <w:tcPr>
            <w:tcW w:w="2490" w:type="dxa"/>
            <w:tcBorders>
              <w:top w:val="single" w:color="000000" w:sz="12" w:space="0"/>
              <w:left w:val="nil"/>
              <w:bottom w:val="single" w:color="000000" w:sz="8" w:space="0"/>
              <w:right w:val="nil"/>
            </w:tcBorders>
            <w:shd w:val="clear" w:color="auto" w:fill="auto"/>
            <w:noWrap/>
            <w:vAlign w:val="center"/>
          </w:tcPr>
          <w:p w14:paraId="33B063B6">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b/>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Outcome</w:t>
            </w:r>
          </w:p>
        </w:tc>
      </w:tr>
      <w:tr w14:paraId="04817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tcBorders>
              <w:top w:val="nil"/>
              <w:left w:val="nil"/>
              <w:bottom w:val="nil"/>
              <w:right w:val="nil"/>
            </w:tcBorders>
            <w:shd w:val="clear" w:color="auto" w:fill="auto"/>
            <w:noWrap/>
            <w:vAlign w:val="center"/>
          </w:tcPr>
          <w:p w14:paraId="1DCB458E">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Parra 2022</w:t>
            </w:r>
          </w:p>
        </w:tc>
        <w:tc>
          <w:tcPr>
            <w:tcW w:w="942" w:type="dxa"/>
            <w:tcBorders>
              <w:top w:val="nil"/>
              <w:left w:val="nil"/>
              <w:bottom w:val="nil"/>
              <w:right w:val="nil"/>
            </w:tcBorders>
            <w:shd w:val="clear" w:color="auto" w:fill="auto"/>
            <w:noWrap/>
            <w:vAlign w:val="center"/>
          </w:tcPr>
          <w:p w14:paraId="069AE721">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case report</w:t>
            </w:r>
          </w:p>
        </w:tc>
        <w:tc>
          <w:tcPr>
            <w:tcW w:w="917" w:type="dxa"/>
            <w:tcBorders>
              <w:top w:val="nil"/>
              <w:left w:val="nil"/>
              <w:bottom w:val="nil"/>
              <w:right w:val="nil"/>
            </w:tcBorders>
            <w:shd w:val="clear" w:color="auto" w:fill="auto"/>
            <w:noWrap/>
            <w:vAlign w:val="center"/>
          </w:tcPr>
          <w:p w14:paraId="4F3B48D1">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w:t>
            </w:r>
          </w:p>
        </w:tc>
        <w:tc>
          <w:tcPr>
            <w:tcW w:w="967" w:type="dxa"/>
            <w:tcBorders>
              <w:top w:val="nil"/>
              <w:left w:val="nil"/>
              <w:bottom w:val="nil"/>
              <w:right w:val="nil"/>
            </w:tcBorders>
            <w:shd w:val="clear" w:color="auto" w:fill="auto"/>
            <w:noWrap/>
            <w:vAlign w:val="center"/>
          </w:tcPr>
          <w:p w14:paraId="41008873">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Spain</w:t>
            </w:r>
          </w:p>
        </w:tc>
        <w:tc>
          <w:tcPr>
            <w:tcW w:w="1884" w:type="dxa"/>
            <w:tcBorders>
              <w:top w:val="nil"/>
              <w:left w:val="nil"/>
              <w:bottom w:val="nil"/>
              <w:right w:val="nil"/>
            </w:tcBorders>
            <w:shd w:val="clear" w:color="auto" w:fill="auto"/>
            <w:noWrap/>
            <w:vAlign w:val="center"/>
          </w:tcPr>
          <w:p w14:paraId="50D269D1">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Our aim was to describe the use of intra_x005f pleural colistin (IpC) in one patient.</w:t>
            </w:r>
          </w:p>
        </w:tc>
        <w:tc>
          <w:tcPr>
            <w:tcW w:w="1835" w:type="dxa"/>
            <w:tcBorders>
              <w:top w:val="nil"/>
              <w:left w:val="nil"/>
              <w:bottom w:val="nil"/>
              <w:right w:val="nil"/>
            </w:tcBorders>
            <w:shd w:val="clear" w:color="auto" w:fill="auto"/>
            <w:vAlign w:val="center"/>
          </w:tcPr>
          <w:p w14:paraId="6558719C">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Extensively drug-resistant Pseudomonas aeruginosa</w:t>
            </w:r>
          </w:p>
        </w:tc>
        <w:tc>
          <w:tcPr>
            <w:tcW w:w="1628" w:type="dxa"/>
            <w:tcBorders>
              <w:top w:val="nil"/>
              <w:left w:val="nil"/>
              <w:bottom w:val="nil"/>
              <w:right w:val="nil"/>
            </w:tcBorders>
            <w:shd w:val="clear" w:color="auto" w:fill="auto"/>
            <w:noWrap/>
            <w:vAlign w:val="center"/>
          </w:tcPr>
          <w:p w14:paraId="12CDB6C1">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Pleural empyema</w:t>
            </w:r>
          </w:p>
        </w:tc>
        <w:tc>
          <w:tcPr>
            <w:tcW w:w="678" w:type="dxa"/>
            <w:tcBorders>
              <w:top w:val="nil"/>
              <w:left w:val="nil"/>
              <w:bottom w:val="nil"/>
              <w:right w:val="nil"/>
            </w:tcBorders>
            <w:shd w:val="clear" w:color="auto" w:fill="auto"/>
            <w:noWrap/>
            <w:vAlign w:val="center"/>
          </w:tcPr>
          <w:p w14:paraId="2E08F1EA">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22</w:t>
            </w:r>
          </w:p>
        </w:tc>
        <w:tc>
          <w:tcPr>
            <w:tcW w:w="2876" w:type="dxa"/>
            <w:tcBorders>
              <w:top w:val="nil"/>
              <w:left w:val="nil"/>
              <w:bottom w:val="nil"/>
              <w:right w:val="nil"/>
            </w:tcBorders>
            <w:shd w:val="clear" w:color="auto" w:fill="auto"/>
            <w:vAlign w:val="center"/>
          </w:tcPr>
          <w:p w14:paraId="45C1C258">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Treatment with intravenous (IV)ceftazidime 2 g every 8 hours was initiated. Two weeks later,</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PE was confirmed by growth of P. aeruginosa resistant to car_x005f bapenems in the pleural fluid and treatment was escalated to IV ceftolozane/tazobactam 2 g/1 g every 8 hours.</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After subsequent microbiological control, P. aeruginosa resistant to ceftolozane/tazobactam and ceftazidime-avibactam(minimum inhibitory concentration (MIC) &gt;250 mg/mL) was observed and, therefore, IV ciprofloxacin 400 mg/12 hours and IV amikacin 15 mg/kg/24 hours were initiated.Nebulised colistin 5 million units (MIU)/8 hours was added. intrapleural colistin(IpC) was added due to the persistence of extensively drug-resistant(XDR) P. aeruginosa in the pleural fluid.</w:t>
            </w:r>
          </w:p>
        </w:tc>
        <w:tc>
          <w:tcPr>
            <w:tcW w:w="2490" w:type="dxa"/>
            <w:tcBorders>
              <w:top w:val="nil"/>
              <w:left w:val="nil"/>
              <w:bottom w:val="nil"/>
              <w:right w:val="nil"/>
            </w:tcBorders>
            <w:shd w:val="clear" w:color="auto" w:fill="auto"/>
            <w:vAlign w:val="center"/>
          </w:tcPr>
          <w:p w14:paraId="34920BC9">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The patient presented episodes of desaturation and sweating associated with the administration of IpC, forcing the suspension of IpC after 9 days of treatment. Finally, she died in the context of infectious disease as a consequence of refractory</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hypoxaemia.</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The persistence of XDR P. aeruginosa in our patient motivated the search for alternatives and</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IpC was choosen on the basis of a single case. However, the efficacy could not be determined due to its poor tolerance.</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Despite the limited amount of published data, the administration of intrapleural antibiotics may constitute a therapeutic option.</w:t>
            </w:r>
          </w:p>
        </w:tc>
      </w:tr>
      <w:tr w14:paraId="6E2CA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tcBorders>
              <w:top w:val="nil"/>
              <w:left w:val="nil"/>
              <w:bottom w:val="nil"/>
              <w:right w:val="nil"/>
            </w:tcBorders>
            <w:shd w:val="clear" w:color="auto" w:fill="auto"/>
            <w:noWrap/>
            <w:vAlign w:val="center"/>
          </w:tcPr>
          <w:p w14:paraId="2867E7AC">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He 2021</w:t>
            </w:r>
          </w:p>
        </w:tc>
        <w:tc>
          <w:tcPr>
            <w:tcW w:w="942" w:type="dxa"/>
            <w:tcBorders>
              <w:top w:val="nil"/>
              <w:left w:val="nil"/>
              <w:bottom w:val="nil"/>
              <w:right w:val="nil"/>
            </w:tcBorders>
            <w:shd w:val="clear" w:color="auto" w:fill="auto"/>
            <w:noWrap/>
            <w:vAlign w:val="center"/>
          </w:tcPr>
          <w:p w14:paraId="600F8297">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case report</w:t>
            </w:r>
          </w:p>
        </w:tc>
        <w:tc>
          <w:tcPr>
            <w:tcW w:w="917" w:type="dxa"/>
            <w:tcBorders>
              <w:top w:val="nil"/>
              <w:left w:val="nil"/>
              <w:bottom w:val="nil"/>
              <w:right w:val="nil"/>
            </w:tcBorders>
            <w:shd w:val="clear" w:color="auto" w:fill="auto"/>
            <w:noWrap/>
            <w:vAlign w:val="center"/>
          </w:tcPr>
          <w:p w14:paraId="3651C0CC">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w:t>
            </w:r>
          </w:p>
        </w:tc>
        <w:tc>
          <w:tcPr>
            <w:tcW w:w="967" w:type="dxa"/>
            <w:tcBorders>
              <w:top w:val="nil"/>
              <w:left w:val="nil"/>
              <w:bottom w:val="nil"/>
              <w:right w:val="nil"/>
            </w:tcBorders>
            <w:shd w:val="clear" w:color="auto" w:fill="auto"/>
            <w:noWrap/>
            <w:vAlign w:val="center"/>
          </w:tcPr>
          <w:p w14:paraId="04CC4739">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China</w:t>
            </w:r>
          </w:p>
        </w:tc>
        <w:tc>
          <w:tcPr>
            <w:tcW w:w="1884" w:type="dxa"/>
            <w:tcBorders>
              <w:top w:val="nil"/>
              <w:left w:val="nil"/>
              <w:bottom w:val="nil"/>
              <w:right w:val="nil"/>
            </w:tcBorders>
            <w:shd w:val="clear" w:color="auto" w:fill="auto"/>
            <w:noWrap/>
            <w:vAlign w:val="center"/>
          </w:tcPr>
          <w:p w14:paraId="386358F9">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This paper will report the case of a severe  pneumonia patient with IMP-resistant ceftazidime-susceptible PA infection that was successfully treated  with piperacillin/tazobactam monotherapy after initial therapy with biapenem (BIP) according to the drug sensitivity test.</w:t>
            </w:r>
          </w:p>
        </w:tc>
        <w:tc>
          <w:tcPr>
            <w:tcW w:w="1835" w:type="dxa"/>
            <w:tcBorders>
              <w:top w:val="nil"/>
              <w:left w:val="nil"/>
              <w:bottom w:val="nil"/>
              <w:right w:val="nil"/>
            </w:tcBorders>
            <w:shd w:val="clear" w:color="auto" w:fill="auto"/>
            <w:noWrap/>
            <w:vAlign w:val="center"/>
          </w:tcPr>
          <w:p w14:paraId="6B0FF290">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Imipenem-resistant Pseudomonas aeruginosa</w:t>
            </w:r>
          </w:p>
        </w:tc>
        <w:tc>
          <w:tcPr>
            <w:tcW w:w="1628" w:type="dxa"/>
            <w:tcBorders>
              <w:top w:val="nil"/>
              <w:left w:val="nil"/>
              <w:bottom w:val="nil"/>
              <w:right w:val="nil"/>
            </w:tcBorders>
            <w:shd w:val="clear" w:color="auto" w:fill="auto"/>
            <w:noWrap/>
            <w:vAlign w:val="center"/>
          </w:tcPr>
          <w:p w14:paraId="6FB7EBAA">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Severe  pneumonia</w:t>
            </w:r>
          </w:p>
        </w:tc>
        <w:tc>
          <w:tcPr>
            <w:tcW w:w="678" w:type="dxa"/>
            <w:tcBorders>
              <w:top w:val="nil"/>
              <w:left w:val="nil"/>
              <w:bottom w:val="nil"/>
              <w:right w:val="nil"/>
            </w:tcBorders>
            <w:shd w:val="clear" w:color="auto" w:fill="auto"/>
            <w:noWrap/>
            <w:vAlign w:val="center"/>
          </w:tcPr>
          <w:p w14:paraId="1EE019DA">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75</w:t>
            </w:r>
          </w:p>
        </w:tc>
        <w:tc>
          <w:tcPr>
            <w:tcW w:w="2876" w:type="dxa"/>
            <w:tcBorders>
              <w:top w:val="nil"/>
              <w:left w:val="nil"/>
              <w:bottom w:val="nil"/>
              <w:right w:val="nil"/>
            </w:tcBorders>
            <w:shd w:val="clear" w:color="auto" w:fill="auto"/>
            <w:vAlign w:val="center"/>
          </w:tcPr>
          <w:p w14:paraId="25E8580D">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Biapenem was selected for the initial anti-infection regimen, and other symptomatic treatments were performed at the same time. On the day 8, the sputum  culture drug sensitivity test results showed PA (sensitive to: piperacillin/tazobactam sodium, ceftazidime, aminoglycoside, and fluoroquinolones; resistant to IMP; and intermediate sensitivity to: cefoperazone_x005f sulbactam and meropenem), so we adjusted the anti-infection regimen as piperacillin/tazobactam sodium.</w:t>
            </w:r>
          </w:p>
        </w:tc>
        <w:tc>
          <w:tcPr>
            <w:tcW w:w="2490" w:type="dxa"/>
            <w:tcBorders>
              <w:top w:val="nil"/>
              <w:left w:val="nil"/>
              <w:bottom w:val="nil"/>
              <w:right w:val="nil"/>
            </w:tcBorders>
            <w:shd w:val="clear" w:color="auto" w:fill="auto"/>
            <w:vAlign w:val="center"/>
          </w:tcPr>
          <w:p w14:paraId="019B4A80">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The infection index of the patient declined steadily, and</w:t>
            </w:r>
            <w:r>
              <w:rPr>
                <w:rFonts w:hint="default" w:ascii="Times New Roman" w:hAnsi="Times New Roman" w:eastAsia="宋体" w:cs="Times New Roman"/>
                <w:i w:val="0"/>
                <w:iCs w:val="0"/>
                <w:color w:val="FF0000"/>
                <w:kern w:val="0"/>
                <w:sz w:val="18"/>
                <w:szCs w:val="18"/>
                <w:u w:val="none"/>
                <w:lang w:val="en-US" w:eastAsia="zh-CN" w:bidi="ar"/>
                <w14:ligatures w14:val="none"/>
              </w:rPr>
              <w:t xml:space="preserve"> the patient was discharged from hospital after continuous treatment with piperacillin tazobactam until the 24th day.</w:t>
            </w: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 </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For severe pneumonia patients  with IMP-resistant ceftazidime-susceptible PA infection, piperacillin/tazobactam is still an option specially  when the MIC of piperacillin/tazobactam is very low.</w:t>
            </w:r>
          </w:p>
        </w:tc>
      </w:tr>
      <w:tr w14:paraId="1CB54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tcBorders>
              <w:top w:val="nil"/>
              <w:left w:val="nil"/>
              <w:bottom w:val="nil"/>
              <w:right w:val="nil"/>
            </w:tcBorders>
            <w:shd w:val="clear" w:color="auto" w:fill="auto"/>
            <w:noWrap/>
            <w:vAlign w:val="center"/>
          </w:tcPr>
          <w:p w14:paraId="2292F843">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Molinaro 2018</w:t>
            </w:r>
          </w:p>
        </w:tc>
        <w:tc>
          <w:tcPr>
            <w:tcW w:w="942" w:type="dxa"/>
            <w:tcBorders>
              <w:top w:val="nil"/>
              <w:left w:val="nil"/>
              <w:bottom w:val="nil"/>
              <w:right w:val="nil"/>
            </w:tcBorders>
            <w:shd w:val="clear" w:color="auto" w:fill="auto"/>
            <w:noWrap/>
            <w:vAlign w:val="center"/>
          </w:tcPr>
          <w:p w14:paraId="795236E5">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case report</w:t>
            </w:r>
          </w:p>
        </w:tc>
        <w:tc>
          <w:tcPr>
            <w:tcW w:w="917" w:type="dxa"/>
            <w:tcBorders>
              <w:top w:val="nil"/>
              <w:left w:val="nil"/>
              <w:bottom w:val="nil"/>
              <w:right w:val="nil"/>
            </w:tcBorders>
            <w:shd w:val="clear" w:color="auto" w:fill="auto"/>
            <w:noWrap/>
            <w:vAlign w:val="center"/>
          </w:tcPr>
          <w:p w14:paraId="0CD1E3C1">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w:t>
            </w:r>
          </w:p>
        </w:tc>
        <w:tc>
          <w:tcPr>
            <w:tcW w:w="967" w:type="dxa"/>
            <w:tcBorders>
              <w:top w:val="nil"/>
              <w:left w:val="nil"/>
              <w:bottom w:val="nil"/>
              <w:right w:val="nil"/>
            </w:tcBorders>
            <w:shd w:val="clear" w:color="auto" w:fill="auto"/>
            <w:noWrap/>
            <w:vAlign w:val="center"/>
          </w:tcPr>
          <w:p w14:paraId="6EFA2039">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Italy</w:t>
            </w:r>
          </w:p>
        </w:tc>
        <w:tc>
          <w:tcPr>
            <w:tcW w:w="1884" w:type="dxa"/>
            <w:tcBorders>
              <w:top w:val="nil"/>
              <w:left w:val="nil"/>
              <w:bottom w:val="nil"/>
              <w:right w:val="nil"/>
            </w:tcBorders>
            <w:shd w:val="clear" w:color="auto" w:fill="auto"/>
            <w:noWrap/>
            <w:vAlign w:val="center"/>
          </w:tcPr>
          <w:p w14:paraId="41FCA7C6">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We describe a case of pan-resistant Pseudomonas aeruginosa postsurgical meningitis associated with the presence of an external ventricular device.</w:t>
            </w:r>
          </w:p>
        </w:tc>
        <w:tc>
          <w:tcPr>
            <w:tcW w:w="1835" w:type="dxa"/>
            <w:tcBorders>
              <w:top w:val="nil"/>
              <w:left w:val="nil"/>
              <w:bottom w:val="nil"/>
              <w:right w:val="nil"/>
            </w:tcBorders>
            <w:shd w:val="clear" w:color="auto" w:fill="auto"/>
            <w:noWrap/>
            <w:vAlign w:val="center"/>
          </w:tcPr>
          <w:p w14:paraId="5DD8C60B">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Pan-resistant Pseudomonas aeruginosa</w:t>
            </w:r>
          </w:p>
        </w:tc>
        <w:tc>
          <w:tcPr>
            <w:tcW w:w="1628" w:type="dxa"/>
            <w:tcBorders>
              <w:top w:val="nil"/>
              <w:left w:val="nil"/>
              <w:bottom w:val="nil"/>
              <w:right w:val="nil"/>
            </w:tcBorders>
            <w:shd w:val="clear" w:color="auto" w:fill="auto"/>
            <w:noWrap/>
            <w:vAlign w:val="center"/>
          </w:tcPr>
          <w:p w14:paraId="6AC20D96">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postsurgical meningitis</w:t>
            </w:r>
          </w:p>
        </w:tc>
        <w:tc>
          <w:tcPr>
            <w:tcW w:w="678" w:type="dxa"/>
            <w:tcBorders>
              <w:top w:val="nil"/>
              <w:left w:val="nil"/>
              <w:bottom w:val="nil"/>
              <w:right w:val="nil"/>
            </w:tcBorders>
            <w:shd w:val="clear" w:color="auto" w:fill="auto"/>
            <w:noWrap/>
            <w:vAlign w:val="center"/>
          </w:tcPr>
          <w:p w14:paraId="09515107">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66</w:t>
            </w:r>
          </w:p>
        </w:tc>
        <w:tc>
          <w:tcPr>
            <w:tcW w:w="2876" w:type="dxa"/>
            <w:tcBorders>
              <w:top w:val="nil"/>
              <w:left w:val="nil"/>
              <w:bottom w:val="nil"/>
              <w:right w:val="nil"/>
            </w:tcBorders>
            <w:shd w:val="clear" w:color="auto" w:fill="auto"/>
            <w:vAlign w:val="center"/>
          </w:tcPr>
          <w:p w14:paraId="017C4C36">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An empiric therapy with </w:t>
            </w:r>
            <w:r>
              <w:rPr>
                <w:rFonts w:hint="default" w:ascii="Times New Roman" w:hAnsi="Times New Roman" w:eastAsia="宋体" w:cs="Times New Roman"/>
                <w:b/>
                <w:bCs/>
                <w:i w:val="0"/>
                <w:iCs w:val="0"/>
                <w:color w:val="000000"/>
                <w:kern w:val="0"/>
                <w:sz w:val="18"/>
                <w:szCs w:val="18"/>
                <w:u w:val="none"/>
                <w:lang w:val="en-US" w:eastAsia="zh-CN" w:bidi="ar"/>
                <w14:ligatures w14:val="none"/>
              </w:rPr>
              <w:t>IV cefepime</w:t>
            </w: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 (6 g/day by continuous infusion after 2 g loading dose), </w:t>
            </w:r>
            <w:r>
              <w:rPr>
                <w:rFonts w:hint="default" w:ascii="Times New Roman" w:hAnsi="Times New Roman" w:eastAsia="宋体" w:cs="Times New Roman"/>
                <w:b/>
                <w:bCs/>
                <w:i w:val="0"/>
                <w:iCs w:val="0"/>
                <w:color w:val="000000"/>
                <w:kern w:val="0"/>
                <w:sz w:val="18"/>
                <w:szCs w:val="18"/>
                <w:u w:val="none"/>
                <w:lang w:val="en-US" w:eastAsia="zh-CN" w:bidi="ar"/>
                <w14:ligatures w14:val="none"/>
              </w:rPr>
              <w:t>IV colistin</w:t>
            </w: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 (4.5 million units every 12 hours </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after 9 million units loading dose), and </w:t>
            </w:r>
            <w:r>
              <w:rPr>
                <w:rFonts w:hint="default" w:ascii="Times New Roman" w:hAnsi="Times New Roman" w:eastAsia="宋体" w:cs="Times New Roman"/>
                <w:b/>
                <w:bCs/>
                <w:i w:val="0"/>
                <w:iCs w:val="0"/>
                <w:color w:val="000000"/>
                <w:kern w:val="0"/>
                <w:sz w:val="18"/>
                <w:szCs w:val="18"/>
                <w:u w:val="none"/>
                <w:lang w:val="en-US" w:eastAsia="zh-CN" w:bidi="ar"/>
                <w14:ligatures w14:val="none"/>
              </w:rPr>
              <w:t>IVT(intraventricular) colistin</w:t>
            </w: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 (10 mg) was started. In fact, CSF culture revealed a multidrug-resistant (MDR) P. aeruginosa only sensitive to </w:t>
            </w:r>
            <w:r>
              <w:rPr>
                <w:rFonts w:hint="default" w:ascii="Times New Roman" w:hAnsi="Times New Roman" w:eastAsia="宋体" w:cs="Times New Roman"/>
                <w:b/>
                <w:bCs/>
                <w:i w:val="0"/>
                <w:iCs w:val="0"/>
                <w:color w:val="000000"/>
                <w:kern w:val="0"/>
                <w:sz w:val="18"/>
                <w:szCs w:val="18"/>
                <w:u w:val="none"/>
                <w:lang w:val="en-US" w:eastAsia="zh-CN" w:bidi="ar"/>
                <w14:ligatures w14:val="none"/>
              </w:rPr>
              <w:t>colistin with a minimum inhibitory concentration (MIC) value of 0.75 mg/L</w:t>
            </w:r>
            <w:r>
              <w:rPr>
                <w:rFonts w:hint="default" w:ascii="Times New Roman" w:hAnsi="Times New Roman" w:eastAsia="宋体" w:cs="Times New Roman"/>
                <w:i w:val="0"/>
                <w:iCs w:val="0"/>
                <w:color w:val="000000"/>
                <w:kern w:val="0"/>
                <w:sz w:val="18"/>
                <w:szCs w:val="18"/>
                <w:u w:val="none"/>
                <w:lang w:val="en-US" w:eastAsia="zh-CN" w:bidi="ar"/>
                <w14:ligatures w14:val="none"/>
              </w:rPr>
              <w:t>.</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cerebrospinal fluid cultures contin_x005f ued to demonstrate growth of P. aeru</w:t>
            </w:r>
            <w:r>
              <w:rPr>
                <w:rFonts w:hint="default" w:ascii="Times New Roman" w:hAnsi="Times New Roman" w:eastAsia="宋体" w:cs="Times New Roman"/>
                <w:b/>
                <w:bCs/>
                <w:i w:val="0"/>
                <w:iCs w:val="0"/>
                <w:color w:val="000000"/>
                <w:kern w:val="0"/>
                <w:sz w:val="18"/>
                <w:szCs w:val="18"/>
                <w:u w:val="none"/>
                <w:lang w:val="en-US" w:eastAsia="zh-CN" w:bidi="ar"/>
                <w14:ligatures w14:val="none"/>
              </w:rPr>
              <w:t xml:space="preserve">ginosa with colistin MIC increasing from 0.75 </w:t>
            </w: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to 4–8 mg/L (Sensititre, Etest). </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Therefor</w:t>
            </w:r>
            <w:r>
              <w:rPr>
                <w:rFonts w:hint="default" w:ascii="Times New Roman" w:hAnsi="Times New Roman" w:eastAsia="宋体" w:cs="Times New Roman"/>
                <w:b/>
                <w:bCs/>
                <w:i w:val="0"/>
                <w:iCs w:val="0"/>
                <w:color w:val="000000"/>
                <w:kern w:val="0"/>
                <w:sz w:val="18"/>
                <w:szCs w:val="18"/>
                <w:u w:val="none"/>
                <w:lang w:val="en-US" w:eastAsia="zh-CN" w:bidi="ar"/>
                <w14:ligatures w14:val="none"/>
              </w:rPr>
              <w:t>e, a s</w:t>
            </w:r>
            <w:r>
              <w:rPr>
                <w:rFonts w:hint="default" w:ascii="Times New Roman" w:hAnsi="Times New Roman" w:eastAsia="宋体" w:cs="Times New Roman"/>
                <w:i w:val="0"/>
                <w:iCs w:val="0"/>
                <w:color w:val="000000"/>
                <w:kern w:val="0"/>
                <w:sz w:val="18"/>
                <w:szCs w:val="18"/>
                <w:u w:val="none"/>
                <w:lang w:val="en-US" w:eastAsia="zh-CN" w:bidi="ar"/>
                <w14:ligatures w14:val="none"/>
              </w:rPr>
              <w:t>econd change occurred by setting the antimi crob</w:t>
            </w:r>
            <w:r>
              <w:rPr>
                <w:rFonts w:hint="default" w:ascii="Times New Roman" w:hAnsi="Times New Roman" w:eastAsia="宋体" w:cs="Times New Roman"/>
                <w:b/>
                <w:bCs/>
                <w:i w:val="0"/>
                <w:iCs w:val="0"/>
                <w:color w:val="000000"/>
                <w:kern w:val="0"/>
                <w:sz w:val="18"/>
                <w:szCs w:val="18"/>
                <w:u w:val="none"/>
                <w:lang w:val="en-US" w:eastAsia="zh-CN" w:bidi="ar"/>
                <w14:ligatures w14:val="none"/>
              </w:rPr>
              <w:t xml:space="preserve">ial therapy </w:t>
            </w:r>
            <w:r>
              <w:rPr>
                <w:rFonts w:hint="default" w:ascii="Times New Roman" w:hAnsi="Times New Roman" w:eastAsia="宋体" w:cs="Times New Roman"/>
                <w:i w:val="0"/>
                <w:iCs w:val="0"/>
                <w:color w:val="000000"/>
                <w:kern w:val="0"/>
                <w:sz w:val="18"/>
                <w:szCs w:val="18"/>
                <w:u w:val="none"/>
                <w:lang w:val="en-US" w:eastAsia="zh-CN" w:bidi="ar"/>
                <w14:ligatures w14:val="none"/>
              </w:rPr>
              <w:t>as follows: IVT a</w:t>
            </w:r>
            <w:r>
              <w:rPr>
                <w:rFonts w:hint="default" w:ascii="Times New Roman" w:hAnsi="Times New Roman" w:eastAsia="宋体" w:cs="Times New Roman"/>
                <w:b/>
                <w:bCs/>
                <w:i w:val="0"/>
                <w:iCs w:val="0"/>
                <w:color w:val="000000"/>
                <w:kern w:val="0"/>
                <w:sz w:val="18"/>
                <w:szCs w:val="18"/>
                <w:u w:val="none"/>
                <w:lang w:val="en-US" w:eastAsia="zh-CN" w:bidi="ar"/>
                <w14:ligatures w14:val="none"/>
              </w:rPr>
              <w:t xml:space="preserve">mikacin 30 </w:t>
            </w:r>
            <w:r>
              <w:rPr>
                <w:rFonts w:hint="default" w:ascii="Times New Roman" w:hAnsi="Times New Roman" w:eastAsia="宋体" w:cs="Times New Roman"/>
                <w:i w:val="0"/>
                <w:iCs w:val="0"/>
                <w:color w:val="000000"/>
                <w:kern w:val="0"/>
                <w:sz w:val="18"/>
                <w:szCs w:val="18"/>
                <w:u w:val="none"/>
                <w:lang w:val="en-US" w:eastAsia="zh-CN" w:bidi="ar"/>
                <w14:ligatures w14:val="none"/>
              </w:rPr>
              <w:t>mg/day 6 and IV cefepime c</w:t>
            </w:r>
            <w:r>
              <w:rPr>
                <w:rFonts w:hint="default" w:ascii="Times New Roman" w:hAnsi="Times New Roman" w:eastAsia="宋体" w:cs="Times New Roman"/>
                <w:b/>
                <w:bCs/>
                <w:i w:val="0"/>
                <w:iCs w:val="0"/>
                <w:color w:val="000000"/>
                <w:kern w:val="0"/>
                <w:sz w:val="18"/>
                <w:szCs w:val="18"/>
                <w:u w:val="none"/>
                <w:lang w:val="en-US" w:eastAsia="zh-CN" w:bidi="ar"/>
                <w14:ligatures w14:val="none"/>
              </w:rPr>
              <w:t>ontinuous in</w:t>
            </w:r>
            <w:r>
              <w:rPr>
                <w:rFonts w:hint="default" w:ascii="Times New Roman" w:hAnsi="Times New Roman" w:eastAsia="宋体" w:cs="Times New Roman"/>
                <w:i w:val="0"/>
                <w:iCs w:val="0"/>
                <w:color w:val="000000"/>
                <w:kern w:val="0"/>
                <w:sz w:val="18"/>
                <w:szCs w:val="18"/>
                <w:u w:val="none"/>
                <w:lang w:val="en-US" w:eastAsia="zh-CN" w:bidi="ar"/>
                <w14:ligatures w14:val="none"/>
              </w:rPr>
              <w:t>fusion plus IV amikacin 1 g/day。</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From day 28, P. aeruginosa could be considered pan resistant rather than MDR.</w:t>
            </w:r>
          </w:p>
        </w:tc>
        <w:tc>
          <w:tcPr>
            <w:tcW w:w="2490" w:type="dxa"/>
            <w:tcBorders>
              <w:top w:val="nil"/>
              <w:left w:val="nil"/>
              <w:bottom w:val="nil"/>
              <w:right w:val="nil"/>
            </w:tcBorders>
            <w:shd w:val="clear" w:color="auto" w:fill="auto"/>
            <w:vAlign w:val="center"/>
          </w:tcPr>
          <w:p w14:paraId="5EA2122D">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CSF culture became negative after 8 days of IVT amikacin therapy and progressive improvement of CSF </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parameters, considering the complex clinical scenario of this fragile ICU patient.</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FF0000"/>
                <w:kern w:val="0"/>
                <w:sz w:val="18"/>
                <w:szCs w:val="18"/>
                <w:u w:val="none"/>
                <w:lang w:val="en-US" w:eastAsia="zh-CN" w:bidi="ar"/>
                <w14:ligatures w14:val="none"/>
              </w:rPr>
              <w:t>The evaluation of the antibiotic concentration and the bactericidal activity in cere_x005f brospinal fluid may contribute to the choice of the drug in cases of multidrug-resistant meningitis.</w:t>
            </w:r>
          </w:p>
        </w:tc>
      </w:tr>
      <w:tr w14:paraId="7B3A7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24" w:type="dxa"/>
            <w:tcBorders>
              <w:top w:val="nil"/>
              <w:left w:val="nil"/>
              <w:bottom w:val="nil"/>
              <w:right w:val="nil"/>
            </w:tcBorders>
            <w:shd w:val="clear" w:color="auto" w:fill="auto"/>
            <w:noWrap/>
            <w:vAlign w:val="center"/>
          </w:tcPr>
          <w:p w14:paraId="6826F8AE">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Taccone 2012</w:t>
            </w:r>
          </w:p>
        </w:tc>
        <w:tc>
          <w:tcPr>
            <w:tcW w:w="942" w:type="dxa"/>
            <w:tcBorders>
              <w:top w:val="nil"/>
              <w:left w:val="nil"/>
              <w:bottom w:val="nil"/>
              <w:right w:val="nil"/>
            </w:tcBorders>
            <w:shd w:val="clear" w:color="auto" w:fill="auto"/>
            <w:noWrap/>
            <w:vAlign w:val="center"/>
          </w:tcPr>
          <w:p w14:paraId="49F0B76B">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case report</w:t>
            </w:r>
          </w:p>
        </w:tc>
        <w:tc>
          <w:tcPr>
            <w:tcW w:w="917" w:type="dxa"/>
            <w:tcBorders>
              <w:top w:val="nil"/>
              <w:left w:val="nil"/>
              <w:bottom w:val="nil"/>
              <w:right w:val="nil"/>
            </w:tcBorders>
            <w:shd w:val="clear" w:color="auto" w:fill="auto"/>
            <w:noWrap/>
            <w:vAlign w:val="center"/>
          </w:tcPr>
          <w:p w14:paraId="2EAEFE9F">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w:t>
            </w:r>
          </w:p>
        </w:tc>
        <w:tc>
          <w:tcPr>
            <w:tcW w:w="967" w:type="dxa"/>
            <w:tcBorders>
              <w:top w:val="nil"/>
              <w:left w:val="nil"/>
              <w:bottom w:val="nil"/>
              <w:right w:val="nil"/>
            </w:tcBorders>
            <w:shd w:val="clear" w:color="auto" w:fill="auto"/>
            <w:noWrap/>
            <w:vAlign w:val="center"/>
          </w:tcPr>
          <w:p w14:paraId="2678B268">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Belgiuma</w:t>
            </w:r>
          </w:p>
        </w:tc>
        <w:tc>
          <w:tcPr>
            <w:tcW w:w="1884" w:type="dxa"/>
            <w:tcBorders>
              <w:top w:val="nil"/>
              <w:left w:val="nil"/>
              <w:bottom w:val="nil"/>
              <w:right w:val="nil"/>
            </w:tcBorders>
            <w:shd w:val="clear" w:color="auto" w:fill="auto"/>
            <w:noWrap/>
            <w:vAlign w:val="center"/>
          </w:tcPr>
          <w:p w14:paraId="0361F563">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We report herein a case of septic shock due to P. aeruginosa that was successfully treated by adapting the meropenem (MEM) regimen to the serum drug concentrations and the in vitro patho_x005f gen susceptibility.</w:t>
            </w:r>
          </w:p>
        </w:tc>
        <w:tc>
          <w:tcPr>
            <w:tcW w:w="1835" w:type="dxa"/>
            <w:tcBorders>
              <w:top w:val="nil"/>
              <w:left w:val="nil"/>
              <w:bottom w:val="nil"/>
              <w:right w:val="nil"/>
            </w:tcBorders>
            <w:shd w:val="clear" w:color="auto" w:fill="auto"/>
            <w:noWrap/>
            <w:vAlign w:val="center"/>
          </w:tcPr>
          <w:p w14:paraId="277D72FC">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Multidrug-Resistant Pseudomonas aeruginosa</w:t>
            </w:r>
          </w:p>
        </w:tc>
        <w:tc>
          <w:tcPr>
            <w:tcW w:w="1628" w:type="dxa"/>
            <w:tcBorders>
              <w:top w:val="nil"/>
              <w:left w:val="nil"/>
              <w:bottom w:val="nil"/>
              <w:right w:val="nil"/>
            </w:tcBorders>
            <w:shd w:val="clear" w:color="auto" w:fill="auto"/>
            <w:noWrap/>
            <w:vAlign w:val="center"/>
          </w:tcPr>
          <w:p w14:paraId="7C154CDE">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Septic Shock</w:t>
            </w:r>
          </w:p>
        </w:tc>
        <w:tc>
          <w:tcPr>
            <w:tcW w:w="678" w:type="dxa"/>
            <w:tcBorders>
              <w:top w:val="nil"/>
              <w:left w:val="nil"/>
              <w:bottom w:val="nil"/>
              <w:right w:val="nil"/>
            </w:tcBorders>
            <w:shd w:val="clear" w:color="auto" w:fill="auto"/>
            <w:noWrap/>
            <w:vAlign w:val="center"/>
          </w:tcPr>
          <w:p w14:paraId="05385D2F">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70</w:t>
            </w:r>
          </w:p>
        </w:tc>
        <w:tc>
          <w:tcPr>
            <w:tcW w:w="2876" w:type="dxa"/>
            <w:tcBorders>
              <w:top w:val="nil"/>
              <w:left w:val="nil"/>
              <w:bottom w:val="nil"/>
              <w:right w:val="nil"/>
            </w:tcBorders>
            <w:shd w:val="clear" w:color="auto" w:fill="auto"/>
            <w:vAlign w:val="center"/>
          </w:tcPr>
          <w:p w14:paraId="514757AB">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The patient received MEM (1 g every 8 h [q8h]) and ciprofloxacin(400 mg q8h). The MIC of P. aeruginosa for MEM was determined by the Etest method. T&gt;4×MIC was considered to be optimal if it was 40% of the dose interval.</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Because of persistent septic shock, a bronchoalveolar lavage was performed at day 6 and again yielded P. aeruginosa, which in vitro was intermediate to MEM (MIC=4 mg/liter), resistant to ciprofloxacin, and only susceptible to colistin (MIC=2 mg/liter) and amikacin (MIC=8 mg/liter).The dose of MEM was then in_x005f creased to 2 g q8h in a 3-h extended infusion (EI) and combined with coli</w:t>
            </w:r>
            <w:r>
              <w:rPr>
                <w:rStyle w:val="50"/>
                <w:rFonts w:hint="default" w:ascii="Times New Roman" w:hAnsi="Times New Roman" w:eastAsia="宋体" w:cs="Times New Roman"/>
                <w:sz w:val="18"/>
                <w:szCs w:val="18"/>
                <w:lang w:val="en-US" w:eastAsia="zh-CN" w:bidi="ar"/>
              </w:rPr>
              <w:t>s</w:t>
            </w:r>
            <w:r>
              <w:rPr>
                <w:rFonts w:hint="default" w:ascii="Times New Roman" w:hAnsi="Times New Roman" w:eastAsia="宋体" w:cs="Times New Roman"/>
                <w:i w:val="0"/>
                <w:iCs w:val="0"/>
                <w:color w:val="000000"/>
                <w:kern w:val="0"/>
                <w:sz w:val="18"/>
                <w:szCs w:val="18"/>
                <w:u w:val="none"/>
                <w:lang w:val="en-US" w:eastAsia="zh-CN" w:bidi="ar"/>
                <w14:ligatures w14:val="none"/>
              </w:rPr>
              <w:t>tin (6 × 106 IU q12h).</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A few days later, P. aeruginosa was recovered in another endotracheal as pirate and was now resistant to MEM (MIC=8 mg/liter). The meropenem regimen was then increased to 3 g q6h as a 3-h extended infusion (total daily dose of 12 g), while colistin was discontinued.</w:t>
            </w:r>
          </w:p>
        </w:tc>
        <w:tc>
          <w:tcPr>
            <w:tcW w:w="2490" w:type="dxa"/>
            <w:tcBorders>
              <w:top w:val="nil"/>
              <w:left w:val="nil"/>
              <w:bottom w:val="nil"/>
              <w:right w:val="nil"/>
            </w:tcBorders>
            <w:shd w:val="clear" w:color="auto" w:fill="auto"/>
            <w:vAlign w:val="center"/>
          </w:tcPr>
          <w:p w14:paraId="49524AC1">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The patient’s clinical status </w:t>
            </w:r>
            <w:r>
              <w:rPr>
                <w:rFonts w:hint="default" w:ascii="Times New Roman" w:hAnsi="Times New Roman" w:eastAsia="宋体" w:cs="Times New Roman"/>
                <w:i w:val="0"/>
                <w:iCs w:val="0"/>
                <w:color w:val="FF0000"/>
                <w:kern w:val="0"/>
                <w:sz w:val="18"/>
                <w:szCs w:val="18"/>
                <w:u w:val="none"/>
                <w:lang w:val="en-US" w:eastAsia="zh-CN" w:bidi="ar"/>
                <w14:ligatures w14:val="none"/>
              </w:rPr>
              <w:t xml:space="preserve">improved thereafter with resolution of signs of sepsis and reduction of inflammatory parameters </w:t>
            </w:r>
            <w:r>
              <w:rPr>
                <w:rFonts w:hint="default" w:ascii="Times New Roman" w:hAnsi="Times New Roman" w:eastAsia="宋体" w:cs="Times New Roman"/>
                <w:i w:val="0"/>
                <w:iCs w:val="0"/>
                <w:color w:val="000000"/>
                <w:kern w:val="0"/>
                <w:sz w:val="18"/>
                <w:szCs w:val="18"/>
                <w:u w:val="none"/>
                <w:lang w:val="en-US" w:eastAsia="zh-CN" w:bidi="ar"/>
                <w14:ligatures w14:val="none"/>
              </w:rPr>
              <w:t>(Fig. 1).</w:t>
            </w:r>
            <w:r>
              <w:rPr>
                <w:rFonts w:hint="default" w:ascii="Times New Roman" w:hAnsi="Times New Roman" w:eastAsia="宋体" w:cs="Times New Roman"/>
                <w:i w:val="0"/>
                <w:iCs w:val="0"/>
                <w:color w:val="FF0000"/>
                <w:kern w:val="0"/>
                <w:sz w:val="18"/>
                <w:szCs w:val="18"/>
                <w:u w:val="none"/>
                <w:lang w:val="en-US" w:eastAsia="zh-CN" w:bidi="ar"/>
                <w14:ligatures w14:val="none"/>
              </w:rPr>
              <w:t xml:space="preserve"> No adverse events were observed</w:t>
            </w:r>
            <w:r>
              <w:rPr>
                <w:rFonts w:hint="default" w:ascii="Times New Roman" w:hAnsi="Times New Roman" w:eastAsia="宋体" w:cs="Times New Roman"/>
                <w:i w:val="0"/>
                <w:iCs w:val="0"/>
                <w:color w:val="000000"/>
                <w:kern w:val="0"/>
                <w:sz w:val="18"/>
                <w:szCs w:val="18"/>
                <w:u w:val="none"/>
                <w:lang w:val="en-US" w:eastAsia="zh-CN" w:bidi="ar"/>
                <w14:ligatures w14:val="none"/>
              </w:rPr>
              <w:t>; an electroen_x005f cephalogram performed at day 16 showed no abn</w:t>
            </w:r>
            <w:r>
              <w:rPr>
                <w:rFonts w:hint="default" w:ascii="Times New Roman" w:hAnsi="Times New Roman" w:eastAsia="宋体" w:cs="Times New Roman"/>
                <w:i w:val="0"/>
                <w:iCs w:val="0"/>
                <w:color w:val="FF0000"/>
                <w:kern w:val="0"/>
                <w:sz w:val="18"/>
                <w:szCs w:val="18"/>
                <w:u w:val="none"/>
                <w:lang w:val="en-US" w:eastAsia="zh-CN" w:bidi="ar"/>
                <w14:ligatures w14:val="none"/>
              </w:rPr>
              <w:t>ormalities.</w:t>
            </w:r>
            <w:r>
              <w:rPr>
                <w:rFonts w:hint="default" w:ascii="Times New Roman" w:hAnsi="Times New Roman" w:eastAsia="宋体" w:cs="Times New Roman"/>
                <w:i w:val="0"/>
                <w:iCs w:val="0"/>
                <w:color w:val="FF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FF0000"/>
                <w:kern w:val="0"/>
                <w:sz w:val="18"/>
                <w:szCs w:val="18"/>
                <w:u w:val="none"/>
                <w:lang w:val="en-US" w:eastAsia="zh-CN" w:bidi="ar"/>
                <w14:ligatures w14:val="none"/>
              </w:rPr>
              <w:t>The patient was discharged from the ICU 10 days after the end</w:t>
            </w:r>
            <w:r>
              <w:rPr>
                <w:rFonts w:hint="default" w:ascii="Times New Roman" w:hAnsi="Times New Roman" w:eastAsia="宋体" w:cs="Times New Roman"/>
                <w:i w:val="0"/>
                <w:iCs w:val="0"/>
                <w:color w:val="FF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FF0000"/>
                <w:kern w:val="0"/>
                <w:sz w:val="18"/>
                <w:szCs w:val="18"/>
                <w:u w:val="none"/>
                <w:lang w:val="en-US" w:eastAsia="zh-CN" w:bidi="ar"/>
                <w14:ligatures w14:val="none"/>
              </w:rPr>
              <w:t>of therapy (33 days) to the floor.</w:t>
            </w:r>
          </w:p>
        </w:tc>
      </w:tr>
      <w:tr w14:paraId="72CF3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0" w:hRule="atLeast"/>
          <w:jc w:val="center"/>
        </w:trPr>
        <w:tc>
          <w:tcPr>
            <w:tcW w:w="824" w:type="dxa"/>
            <w:tcBorders>
              <w:top w:val="nil"/>
              <w:left w:val="nil"/>
              <w:bottom w:val="single" w:color="000000" w:sz="12" w:space="0"/>
              <w:right w:val="nil"/>
            </w:tcBorders>
            <w:shd w:val="clear" w:color="auto" w:fill="auto"/>
            <w:noWrap/>
            <w:vAlign w:val="center"/>
          </w:tcPr>
          <w:p w14:paraId="218E2AE1">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Zhang 2022</w:t>
            </w:r>
          </w:p>
        </w:tc>
        <w:tc>
          <w:tcPr>
            <w:tcW w:w="942" w:type="dxa"/>
            <w:tcBorders>
              <w:top w:val="nil"/>
              <w:left w:val="nil"/>
              <w:bottom w:val="single" w:color="000000" w:sz="12" w:space="0"/>
              <w:right w:val="nil"/>
            </w:tcBorders>
            <w:shd w:val="clear" w:color="auto" w:fill="auto"/>
            <w:noWrap/>
            <w:vAlign w:val="center"/>
          </w:tcPr>
          <w:p w14:paraId="1790C309">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case report</w:t>
            </w:r>
          </w:p>
        </w:tc>
        <w:tc>
          <w:tcPr>
            <w:tcW w:w="917" w:type="dxa"/>
            <w:tcBorders>
              <w:top w:val="nil"/>
              <w:left w:val="nil"/>
              <w:bottom w:val="single" w:color="000000" w:sz="12" w:space="0"/>
              <w:right w:val="nil"/>
            </w:tcBorders>
            <w:shd w:val="clear" w:color="auto" w:fill="auto"/>
            <w:noWrap/>
            <w:vAlign w:val="center"/>
          </w:tcPr>
          <w:p w14:paraId="3DDEF9D5">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2</w:t>
            </w:r>
          </w:p>
        </w:tc>
        <w:tc>
          <w:tcPr>
            <w:tcW w:w="967" w:type="dxa"/>
            <w:tcBorders>
              <w:top w:val="nil"/>
              <w:left w:val="nil"/>
              <w:bottom w:val="single" w:color="000000" w:sz="12" w:space="0"/>
              <w:right w:val="nil"/>
            </w:tcBorders>
            <w:shd w:val="clear" w:color="auto" w:fill="auto"/>
            <w:noWrap/>
            <w:vAlign w:val="center"/>
          </w:tcPr>
          <w:p w14:paraId="26A07EF3">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China</w:t>
            </w:r>
          </w:p>
        </w:tc>
        <w:tc>
          <w:tcPr>
            <w:tcW w:w="1884" w:type="dxa"/>
            <w:tcBorders>
              <w:top w:val="nil"/>
              <w:left w:val="nil"/>
              <w:bottom w:val="single" w:color="000000" w:sz="12" w:space="0"/>
              <w:right w:val="nil"/>
            </w:tcBorders>
            <w:shd w:val="clear" w:color="auto" w:fill="auto"/>
            <w:noWrap/>
            <w:vAlign w:val="center"/>
          </w:tcPr>
          <w:p w14:paraId="74D79C79">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We report two cases of fatal infection caused by KPC-33-producing ST463 P. aeruginosa strains with hypervirulence and resistance to multiple drugs, in cluding carbapenems and Ceftazidime/avibactam （CZA）.</w:t>
            </w:r>
          </w:p>
        </w:tc>
        <w:tc>
          <w:tcPr>
            <w:tcW w:w="1835" w:type="dxa"/>
            <w:tcBorders>
              <w:top w:val="nil"/>
              <w:left w:val="nil"/>
              <w:bottom w:val="single" w:color="000000" w:sz="12" w:space="0"/>
              <w:right w:val="nil"/>
            </w:tcBorders>
            <w:shd w:val="clear" w:color="auto" w:fill="auto"/>
            <w:vAlign w:val="center"/>
          </w:tcPr>
          <w:p w14:paraId="4E06AA37">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 CZA-resistant</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P. aeruginosa;2: CZA-susceptible CRPA</w:t>
            </w:r>
          </w:p>
        </w:tc>
        <w:tc>
          <w:tcPr>
            <w:tcW w:w="1628" w:type="dxa"/>
            <w:tcBorders>
              <w:top w:val="nil"/>
              <w:left w:val="nil"/>
              <w:bottom w:val="single" w:color="000000" w:sz="12" w:space="0"/>
              <w:right w:val="nil"/>
            </w:tcBorders>
            <w:shd w:val="clear" w:color="auto" w:fill="auto"/>
            <w:noWrap/>
            <w:vAlign w:val="center"/>
          </w:tcPr>
          <w:p w14:paraId="0697F05F">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 lymphoma</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2. Breast cancer，ventilator-associated pneumonia in the intensive care unit.</w:t>
            </w:r>
          </w:p>
        </w:tc>
        <w:tc>
          <w:tcPr>
            <w:tcW w:w="678" w:type="dxa"/>
            <w:tcBorders>
              <w:top w:val="nil"/>
              <w:left w:val="nil"/>
              <w:bottom w:val="single" w:color="000000" w:sz="12" w:space="0"/>
              <w:right w:val="nil"/>
            </w:tcBorders>
            <w:shd w:val="clear" w:color="auto" w:fill="auto"/>
            <w:vAlign w:val="center"/>
          </w:tcPr>
          <w:p w14:paraId="5A5C3220">
            <w:pPr>
              <w:keepNext/>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 25; 2: 76</w:t>
            </w:r>
          </w:p>
        </w:tc>
        <w:tc>
          <w:tcPr>
            <w:tcW w:w="2876" w:type="dxa"/>
            <w:tcBorders>
              <w:top w:val="nil"/>
              <w:left w:val="nil"/>
              <w:bottom w:val="single" w:color="000000" w:sz="12" w:space="0"/>
              <w:right w:val="nil"/>
            </w:tcBorders>
            <w:shd w:val="clear" w:color="auto" w:fill="auto"/>
            <w:vAlign w:val="center"/>
          </w:tcPr>
          <w:p w14:paraId="74410C9B">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 He was admitted to the general ward and received CZA therapy based on a suscepti_x005f bility test. However, high fever re-emerged, and blood culture yielded a CZA-resistant P. aeruginosa strain designated as ZYPA54. Polymyxin B, amikacin, and tigecycline were administered.</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2. She had recurrent high fever despite admin istration of multiple antibiotics, including CZA,  a CZA resistant P. aeruginosa strain, designated as SYPA07, was recovered from the sputum. The patient eventually died on day 55 after ad mission due to severe pneumonia, septic shock, and multiorganb failure, even after treatment with polymyxin B</w:t>
            </w:r>
          </w:p>
        </w:tc>
        <w:tc>
          <w:tcPr>
            <w:tcW w:w="2490" w:type="dxa"/>
            <w:tcBorders>
              <w:top w:val="nil"/>
              <w:left w:val="nil"/>
              <w:bottom w:val="single" w:color="000000" w:sz="12" w:space="0"/>
              <w:right w:val="nil"/>
            </w:tcBorders>
            <w:shd w:val="clear" w:color="auto" w:fill="auto"/>
            <w:vAlign w:val="center"/>
          </w:tcPr>
          <w:p w14:paraId="27AE6A09">
            <w:pPr>
              <w:keepNext/>
              <w:keepLines w:val="0"/>
              <w:widowControl/>
              <w:suppressLineNumbers w:val="0"/>
              <w:snapToGrid w:val="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 The patient died on day 22 after admission due to sep tic shock and multiorgan failure</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2.</w:t>
            </w:r>
          </w:p>
        </w:tc>
      </w:tr>
      <w:tr w14:paraId="2970D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041" w:type="dxa"/>
            <w:gridSpan w:val="10"/>
            <w:tcBorders>
              <w:top w:val="nil"/>
              <w:left w:val="nil"/>
              <w:bottom w:val="nil"/>
              <w:right w:val="nil"/>
            </w:tcBorders>
            <w:shd w:val="clear" w:color="auto" w:fill="auto"/>
            <w:noWrap/>
            <w:vAlign w:val="center"/>
          </w:tcPr>
          <w:p w14:paraId="7F37A28B">
            <w:pPr>
              <w:keepNext/>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VAP： ventilator-associated pneumonia</w:t>
            </w:r>
          </w:p>
        </w:tc>
      </w:tr>
    </w:tbl>
    <w:p w14:paraId="6743DBDF">
      <w:pPr>
        <w:rPr>
          <w:rFonts w:hint="eastAsia"/>
        </w:rPr>
      </w:pPr>
    </w:p>
    <w:p w14:paraId="0AAF0DA8">
      <w:pPr>
        <w:pStyle w:val="39"/>
        <w:rPr>
          <w:rFonts w:hint="eastAsia"/>
        </w:rPr>
      </w:pPr>
      <w:r>
        <w:rPr>
          <w:rFonts w:hint="eastAsia"/>
        </w:rPr>
        <w:t>附表4.临床问题4纳入文献基线特征表</w:t>
      </w:r>
    </w:p>
    <w:p w14:paraId="7F8D02CC"/>
    <w:tbl>
      <w:tblPr>
        <w:tblStyle w:val="15"/>
        <w:tblW w:w="144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7"/>
        <w:gridCol w:w="1430"/>
        <w:gridCol w:w="1403"/>
        <w:gridCol w:w="775"/>
        <w:gridCol w:w="2010"/>
        <w:gridCol w:w="4099"/>
        <w:gridCol w:w="3662"/>
      </w:tblGrid>
      <w:tr w14:paraId="65E82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87" w:type="dxa"/>
            <w:tcBorders>
              <w:top w:val="single" w:color="000000" w:sz="12" w:space="0"/>
              <w:left w:val="nil"/>
              <w:bottom w:val="single" w:color="000000" w:sz="8" w:space="0"/>
              <w:right w:val="nil"/>
            </w:tcBorders>
            <w:shd w:val="clear" w:color="auto" w:fill="FFFFFF"/>
            <w:noWrap/>
            <w:vAlign w:val="center"/>
          </w:tcPr>
          <w:p w14:paraId="617C0A22">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bCs w:val="0"/>
                <w:i w:val="0"/>
                <w:iCs w:val="0"/>
                <w:color w:val="000000"/>
                <w:sz w:val="18"/>
                <w:szCs w:val="18"/>
                <w:u w:val="none"/>
              </w:rPr>
            </w:pPr>
            <w:r>
              <w:rPr>
                <w:rFonts w:hint="default" w:ascii="Times New Roman" w:hAnsi="Times New Roman" w:eastAsia="宋体" w:cs="Times New Roman"/>
                <w:b/>
                <w:bCs w:val="0"/>
                <w:i w:val="0"/>
                <w:iCs w:val="0"/>
                <w:color w:val="000000"/>
                <w:kern w:val="0"/>
                <w:sz w:val="18"/>
                <w:szCs w:val="18"/>
                <w:u w:val="none"/>
                <w:lang w:val="en-US" w:eastAsia="zh-CN" w:bidi="ar"/>
                <w14:ligatures w14:val="none"/>
              </w:rPr>
              <w:t>Study ID</w:t>
            </w:r>
          </w:p>
        </w:tc>
        <w:tc>
          <w:tcPr>
            <w:tcW w:w="1430" w:type="dxa"/>
            <w:tcBorders>
              <w:top w:val="single" w:color="000000" w:sz="12" w:space="0"/>
              <w:left w:val="nil"/>
              <w:bottom w:val="single" w:color="000000" w:sz="8" w:space="0"/>
              <w:right w:val="nil"/>
            </w:tcBorders>
            <w:shd w:val="clear" w:color="auto" w:fill="FFFFFF"/>
            <w:noWrap/>
            <w:vAlign w:val="center"/>
          </w:tcPr>
          <w:p w14:paraId="7A83DBD6">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bCs w:val="0"/>
                <w:i w:val="0"/>
                <w:iCs w:val="0"/>
                <w:color w:val="000000"/>
                <w:sz w:val="18"/>
                <w:szCs w:val="18"/>
                <w:u w:val="none"/>
              </w:rPr>
            </w:pPr>
            <w:r>
              <w:rPr>
                <w:rFonts w:hint="default" w:ascii="Times New Roman" w:hAnsi="Times New Roman" w:eastAsia="宋体" w:cs="Times New Roman"/>
                <w:b/>
                <w:bCs w:val="0"/>
                <w:i w:val="0"/>
                <w:iCs w:val="0"/>
                <w:color w:val="000000"/>
                <w:kern w:val="0"/>
                <w:sz w:val="18"/>
                <w:szCs w:val="18"/>
                <w:u w:val="none"/>
                <w:lang w:val="en-US" w:eastAsia="zh-CN" w:bidi="ar"/>
                <w14:ligatures w14:val="none"/>
              </w:rPr>
              <w:t>Study Design</w:t>
            </w:r>
          </w:p>
        </w:tc>
        <w:tc>
          <w:tcPr>
            <w:tcW w:w="1403" w:type="dxa"/>
            <w:tcBorders>
              <w:top w:val="single" w:color="000000" w:sz="12" w:space="0"/>
              <w:left w:val="nil"/>
              <w:bottom w:val="single" w:color="000000" w:sz="8" w:space="0"/>
              <w:right w:val="nil"/>
            </w:tcBorders>
            <w:shd w:val="clear" w:color="auto" w:fill="FFFFFF"/>
            <w:noWrap/>
            <w:vAlign w:val="center"/>
          </w:tcPr>
          <w:p w14:paraId="042B1B6B">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bCs w:val="0"/>
                <w:i w:val="0"/>
                <w:iCs w:val="0"/>
                <w:color w:val="000000"/>
                <w:sz w:val="18"/>
                <w:szCs w:val="18"/>
                <w:u w:val="none"/>
              </w:rPr>
            </w:pPr>
            <w:r>
              <w:rPr>
                <w:rFonts w:hint="default" w:ascii="Times New Roman" w:hAnsi="Times New Roman" w:eastAsia="宋体" w:cs="Times New Roman"/>
                <w:b/>
                <w:bCs w:val="0"/>
                <w:i w:val="0"/>
                <w:iCs w:val="0"/>
                <w:color w:val="000000"/>
                <w:kern w:val="0"/>
                <w:sz w:val="18"/>
                <w:szCs w:val="18"/>
                <w:u w:val="none"/>
                <w:lang w:val="en-US" w:eastAsia="zh-CN" w:bidi="ar"/>
                <w14:ligatures w14:val="none"/>
              </w:rPr>
              <w:t>Country</w:t>
            </w:r>
          </w:p>
        </w:tc>
        <w:tc>
          <w:tcPr>
            <w:tcW w:w="775" w:type="dxa"/>
            <w:tcBorders>
              <w:top w:val="single" w:color="000000" w:sz="12" w:space="0"/>
              <w:left w:val="nil"/>
              <w:bottom w:val="single" w:color="000000" w:sz="8" w:space="0"/>
              <w:right w:val="nil"/>
            </w:tcBorders>
            <w:shd w:val="clear" w:color="auto" w:fill="FFFFFF"/>
            <w:noWrap/>
            <w:vAlign w:val="center"/>
          </w:tcPr>
          <w:p w14:paraId="22E4614F">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bCs w:val="0"/>
                <w:i w:val="0"/>
                <w:iCs w:val="0"/>
                <w:color w:val="000000"/>
                <w:sz w:val="18"/>
                <w:szCs w:val="18"/>
                <w:u w:val="none"/>
              </w:rPr>
            </w:pPr>
            <w:r>
              <w:rPr>
                <w:rFonts w:hint="default" w:ascii="Times New Roman" w:hAnsi="Times New Roman" w:eastAsia="宋体" w:cs="Times New Roman"/>
                <w:b/>
                <w:bCs w:val="0"/>
                <w:i w:val="0"/>
                <w:iCs w:val="0"/>
                <w:color w:val="000000"/>
                <w:kern w:val="0"/>
                <w:sz w:val="18"/>
                <w:szCs w:val="18"/>
                <w:u w:val="none"/>
                <w:lang w:val="en-US" w:eastAsia="zh-CN" w:bidi="ar"/>
                <w14:ligatures w14:val="none"/>
              </w:rPr>
              <w:t>Sample Size</w:t>
            </w:r>
          </w:p>
        </w:tc>
        <w:tc>
          <w:tcPr>
            <w:tcW w:w="2010" w:type="dxa"/>
            <w:tcBorders>
              <w:top w:val="single" w:color="000000" w:sz="12" w:space="0"/>
              <w:left w:val="nil"/>
              <w:bottom w:val="single" w:color="000000" w:sz="8" w:space="0"/>
              <w:right w:val="nil"/>
            </w:tcBorders>
            <w:shd w:val="clear" w:color="auto" w:fill="FFFFFF"/>
            <w:noWrap/>
            <w:vAlign w:val="center"/>
          </w:tcPr>
          <w:p w14:paraId="54148FE7">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bCs w:val="0"/>
                <w:i w:val="0"/>
                <w:iCs w:val="0"/>
                <w:color w:val="000000"/>
                <w:sz w:val="18"/>
                <w:szCs w:val="18"/>
                <w:u w:val="none"/>
              </w:rPr>
            </w:pPr>
            <w:r>
              <w:rPr>
                <w:rFonts w:hint="default" w:ascii="Times New Roman" w:hAnsi="Times New Roman" w:eastAsia="宋体" w:cs="Times New Roman"/>
                <w:b/>
                <w:bCs w:val="0"/>
                <w:i w:val="0"/>
                <w:iCs w:val="0"/>
                <w:color w:val="000000"/>
                <w:kern w:val="0"/>
                <w:sz w:val="18"/>
                <w:szCs w:val="18"/>
                <w:u w:val="none"/>
                <w:lang w:val="en-US" w:eastAsia="zh-CN" w:bidi="ar"/>
                <w14:ligatures w14:val="none"/>
              </w:rPr>
              <w:t>Intervention</w:t>
            </w:r>
          </w:p>
        </w:tc>
        <w:tc>
          <w:tcPr>
            <w:tcW w:w="4099" w:type="dxa"/>
            <w:tcBorders>
              <w:top w:val="single" w:color="000000" w:sz="12" w:space="0"/>
              <w:left w:val="nil"/>
              <w:bottom w:val="single" w:color="000000" w:sz="8" w:space="0"/>
              <w:right w:val="nil"/>
            </w:tcBorders>
            <w:shd w:val="clear" w:color="auto" w:fill="FFFFFF"/>
            <w:vAlign w:val="center"/>
          </w:tcPr>
          <w:p w14:paraId="20F01DA4">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bCs w:val="0"/>
                <w:i w:val="0"/>
                <w:iCs w:val="0"/>
                <w:color w:val="000000"/>
                <w:sz w:val="18"/>
                <w:szCs w:val="18"/>
                <w:u w:val="none"/>
              </w:rPr>
            </w:pPr>
            <w:r>
              <w:rPr>
                <w:rStyle w:val="18"/>
                <w:rFonts w:ascii="Segoe UI" w:hAnsi="Segoe UI" w:eastAsia="Segoe UI" w:cs="Segoe UI"/>
                <w:b/>
                <w:bCs/>
                <w:i w:val="0"/>
                <w:iCs w:val="0"/>
                <w:caps w:val="0"/>
                <w:color w:val="0F1115"/>
                <w:spacing w:val="0"/>
                <w:sz w:val="16"/>
                <w:szCs w:val="16"/>
                <w:shd w:val="clear" w:fill="FFFFFF"/>
              </w:rPr>
              <w:t>Target Plasma Concentration</w:t>
            </w:r>
          </w:p>
        </w:tc>
        <w:tc>
          <w:tcPr>
            <w:tcW w:w="3662" w:type="dxa"/>
            <w:tcBorders>
              <w:top w:val="single" w:color="000000" w:sz="12" w:space="0"/>
              <w:left w:val="nil"/>
              <w:bottom w:val="single" w:color="000000" w:sz="8" w:space="0"/>
              <w:right w:val="nil"/>
            </w:tcBorders>
            <w:shd w:val="clear" w:color="auto" w:fill="FFFFFF"/>
            <w:noWrap/>
            <w:vAlign w:val="center"/>
          </w:tcPr>
          <w:p w14:paraId="2D91A397">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bCs w:val="0"/>
                <w:i w:val="0"/>
                <w:iCs w:val="0"/>
                <w:color w:val="000000"/>
                <w:sz w:val="18"/>
                <w:szCs w:val="18"/>
                <w:u w:val="none"/>
                <w:lang w:val="en-US"/>
              </w:rPr>
            </w:pPr>
            <w:r>
              <w:rPr>
                <w:rFonts w:hint="default" w:ascii="Times New Roman" w:hAnsi="Times New Roman" w:cs="Times New Roman"/>
                <w:b/>
                <w:bCs w:val="0"/>
                <w:i w:val="0"/>
                <w:iCs w:val="0"/>
                <w:color w:val="000000"/>
                <w:kern w:val="0"/>
                <w:sz w:val="18"/>
                <w:szCs w:val="18"/>
                <w:u w:val="none"/>
                <w:lang w:val="en-US" w:eastAsia="zh-CN" w:bidi="ar"/>
                <w14:ligatures w14:val="none"/>
              </w:rPr>
              <w:t>Outcome</w:t>
            </w:r>
          </w:p>
        </w:tc>
      </w:tr>
      <w:tr w14:paraId="74DC1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7" w:type="dxa"/>
            <w:tcBorders>
              <w:top w:val="nil"/>
              <w:left w:val="nil"/>
              <w:bottom w:val="nil"/>
              <w:right w:val="nil"/>
            </w:tcBorders>
            <w:shd w:val="clear" w:color="auto" w:fill="FFFFFF"/>
            <w:noWrap/>
            <w:vAlign w:val="center"/>
          </w:tcPr>
          <w:p w14:paraId="0BC41B8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König 2021</w:t>
            </w:r>
          </w:p>
        </w:tc>
        <w:tc>
          <w:tcPr>
            <w:tcW w:w="1430" w:type="dxa"/>
            <w:tcBorders>
              <w:top w:val="nil"/>
              <w:left w:val="nil"/>
              <w:bottom w:val="nil"/>
              <w:right w:val="nil"/>
            </w:tcBorders>
            <w:shd w:val="clear" w:color="auto" w:fill="FFFFFF"/>
            <w:noWrap/>
            <w:vAlign w:val="center"/>
          </w:tcPr>
          <w:p w14:paraId="726DFE6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case series</w:t>
            </w:r>
          </w:p>
        </w:tc>
        <w:tc>
          <w:tcPr>
            <w:tcW w:w="1403" w:type="dxa"/>
            <w:tcBorders>
              <w:top w:val="nil"/>
              <w:left w:val="nil"/>
              <w:bottom w:val="nil"/>
              <w:right w:val="nil"/>
            </w:tcBorders>
            <w:shd w:val="clear" w:color="auto" w:fill="FFFFFF"/>
            <w:noWrap/>
            <w:vAlign w:val="center"/>
          </w:tcPr>
          <w:p w14:paraId="6F5769F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Germany</w:t>
            </w:r>
          </w:p>
        </w:tc>
        <w:tc>
          <w:tcPr>
            <w:tcW w:w="775" w:type="dxa"/>
            <w:tcBorders>
              <w:top w:val="nil"/>
              <w:left w:val="nil"/>
              <w:bottom w:val="nil"/>
              <w:right w:val="nil"/>
            </w:tcBorders>
            <w:shd w:val="clear" w:color="auto" w:fill="FFFFFF"/>
            <w:noWrap/>
            <w:vAlign w:val="center"/>
          </w:tcPr>
          <w:p w14:paraId="7643082D">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3</w:t>
            </w:r>
          </w:p>
        </w:tc>
        <w:tc>
          <w:tcPr>
            <w:tcW w:w="2010" w:type="dxa"/>
            <w:tcBorders>
              <w:top w:val="nil"/>
              <w:left w:val="nil"/>
              <w:bottom w:val="nil"/>
              <w:right w:val="nil"/>
            </w:tcBorders>
            <w:shd w:val="clear" w:color="auto" w:fill="FFFFFF"/>
            <w:noWrap/>
            <w:vAlign w:val="center"/>
          </w:tcPr>
          <w:p w14:paraId="6D4BB2F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Cefiderocol</w:t>
            </w:r>
          </w:p>
        </w:tc>
        <w:tc>
          <w:tcPr>
            <w:tcW w:w="4099" w:type="dxa"/>
            <w:tcBorders>
              <w:top w:val="nil"/>
              <w:left w:val="nil"/>
              <w:bottom w:val="nil"/>
              <w:right w:val="nil"/>
            </w:tcBorders>
            <w:shd w:val="clear" w:color="auto" w:fill="FFFFFF"/>
            <w:vAlign w:val="center"/>
          </w:tcPr>
          <w:p w14:paraId="3CEA0BFD">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Cefiderocol trough concentrations (Cmin) ranged between levels of 25–70 mg/L, and by this were substantially above the targeted MICs. Based on these mea</w:t>
            </w:r>
            <w:r>
              <w:rPr>
                <w:rFonts w:ascii="Times New Roman" w:hAnsi="Arial" w:eastAsia="宋体" w:cs="Arial"/>
                <w:i w:val="0"/>
                <w:iCs w:val="0"/>
                <w:color w:val="000000"/>
                <w:kern w:val="0"/>
                <w:sz w:val="18"/>
                <w:szCs w:val="18"/>
                <w:u w:val="none"/>
                <w:lang w:val="en-US" w:eastAsia="zh-CN" w:bidi="ar"/>
                <w14:ligatures w14:val="none"/>
              </w:rPr>
              <w:t xml:space="preserve"> </w:t>
            </w:r>
            <w:r>
              <w:rPr>
                <w:rFonts w:hint="default" w:ascii="Times New Roman" w:hAnsi="Times New Roman" w:eastAsia="宋体" w:cs="Times New Roman"/>
                <w:i w:val="0"/>
                <w:iCs w:val="0"/>
                <w:color w:val="000000"/>
                <w:kern w:val="0"/>
                <w:sz w:val="18"/>
                <w:szCs w:val="18"/>
                <w:u w:val="none"/>
                <w:lang w:val="en-US" w:eastAsia="zh-CN" w:bidi="ar"/>
                <w14:ligatures w14:val="none"/>
              </w:rPr>
              <w:t>surements, we simulated the course of the individual cefiderocol concentrations assuming first-order kinetics. Despite the different extent of dose adaptions either empirically or based on TDM results, all patients maintained cefiderocol concentrations 100% fT of at least 1 × MIC (e.g., 2 mg/L = total serum concentration of 4 mg/L with a protein binding of 50%).Cmin were 25 mg/L (&gt;4 × MIC) with a dosing regimen of 2–3 × 1 g cefiderocol infused over 3 h. However, there was a significant decrease in serum levels in the patient treated with cytokine adsorber therapy.</w:t>
            </w:r>
          </w:p>
        </w:tc>
        <w:tc>
          <w:tcPr>
            <w:tcW w:w="3662" w:type="dxa"/>
            <w:tcBorders>
              <w:top w:val="nil"/>
              <w:left w:val="nil"/>
              <w:bottom w:val="nil"/>
              <w:right w:val="nil"/>
            </w:tcBorders>
            <w:shd w:val="clear" w:color="auto" w:fill="FFFFFF"/>
            <w:noWrap/>
            <w:vAlign w:val="center"/>
          </w:tcPr>
          <w:p w14:paraId="1739B9E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In this context therapeutic drug monitoring and dose adjustment are recommended.</w:t>
            </w:r>
          </w:p>
        </w:tc>
      </w:tr>
      <w:tr w14:paraId="5C105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7" w:type="dxa"/>
            <w:tcBorders>
              <w:top w:val="nil"/>
              <w:left w:val="nil"/>
              <w:bottom w:val="nil"/>
              <w:right w:val="nil"/>
            </w:tcBorders>
            <w:shd w:val="clear" w:color="auto" w:fill="FFFFFF"/>
            <w:noWrap/>
            <w:vAlign w:val="center"/>
          </w:tcPr>
          <w:p w14:paraId="24B160E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Prinz 2023</w:t>
            </w:r>
          </w:p>
        </w:tc>
        <w:tc>
          <w:tcPr>
            <w:tcW w:w="1430" w:type="dxa"/>
            <w:tcBorders>
              <w:top w:val="nil"/>
              <w:left w:val="nil"/>
              <w:bottom w:val="nil"/>
              <w:right w:val="nil"/>
            </w:tcBorders>
            <w:shd w:val="clear" w:color="auto" w:fill="FFFFFF"/>
            <w:noWrap/>
            <w:vAlign w:val="center"/>
          </w:tcPr>
          <w:p w14:paraId="635EF28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case series</w:t>
            </w:r>
          </w:p>
        </w:tc>
        <w:tc>
          <w:tcPr>
            <w:tcW w:w="1403" w:type="dxa"/>
            <w:tcBorders>
              <w:top w:val="nil"/>
              <w:left w:val="nil"/>
              <w:bottom w:val="nil"/>
              <w:right w:val="nil"/>
            </w:tcBorders>
            <w:shd w:val="clear" w:color="auto" w:fill="auto"/>
            <w:noWrap/>
            <w:vAlign w:val="center"/>
          </w:tcPr>
          <w:p w14:paraId="6703E72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Germany</w:t>
            </w:r>
          </w:p>
        </w:tc>
        <w:tc>
          <w:tcPr>
            <w:tcW w:w="775" w:type="dxa"/>
            <w:tcBorders>
              <w:top w:val="nil"/>
              <w:left w:val="nil"/>
              <w:bottom w:val="nil"/>
              <w:right w:val="nil"/>
            </w:tcBorders>
            <w:shd w:val="clear" w:color="auto" w:fill="FFFFFF"/>
            <w:noWrap/>
            <w:vAlign w:val="center"/>
          </w:tcPr>
          <w:p w14:paraId="3E189584">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w:t>
            </w:r>
          </w:p>
        </w:tc>
        <w:tc>
          <w:tcPr>
            <w:tcW w:w="2010" w:type="dxa"/>
            <w:tcBorders>
              <w:top w:val="nil"/>
              <w:left w:val="nil"/>
              <w:bottom w:val="nil"/>
              <w:right w:val="nil"/>
            </w:tcBorders>
            <w:shd w:val="clear" w:color="auto" w:fill="FFFFFF"/>
            <w:noWrap/>
            <w:vAlign w:val="center"/>
          </w:tcPr>
          <w:p w14:paraId="378F51DD">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Cefiderocol</w:t>
            </w:r>
          </w:p>
        </w:tc>
        <w:tc>
          <w:tcPr>
            <w:tcW w:w="4099" w:type="dxa"/>
            <w:tcBorders>
              <w:top w:val="nil"/>
              <w:left w:val="nil"/>
              <w:bottom w:val="nil"/>
              <w:right w:val="nil"/>
            </w:tcBorders>
            <w:shd w:val="clear" w:color="auto" w:fill="FFFFFF"/>
            <w:vAlign w:val="center"/>
          </w:tcPr>
          <w:p w14:paraId="1C24D2E5">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After 24 h of continuous infusion (6 g)[‘steady-state’]: 124g</w:t>
            </w:r>
          </w:p>
        </w:tc>
        <w:tc>
          <w:tcPr>
            <w:tcW w:w="3662" w:type="dxa"/>
            <w:tcBorders>
              <w:top w:val="nil"/>
              <w:left w:val="nil"/>
              <w:bottom w:val="nil"/>
              <w:right w:val="nil"/>
            </w:tcBorders>
            <w:shd w:val="clear" w:color="auto" w:fill="FFFFFF"/>
            <w:vAlign w:val="center"/>
          </w:tcPr>
          <w:p w14:paraId="61B16BD6">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The continuous application of </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cefderocol in combination with TDM allows plasma con</w:t>
            </w:r>
            <w:r>
              <w:rPr>
                <w:rFonts w:ascii="Times New Roman" w:hAnsi="Arial" w:eastAsia="宋体" w:cs="Arial"/>
                <w:i w:val="0"/>
                <w:iCs w:val="0"/>
                <w:color w:val="000000"/>
                <w:kern w:val="0"/>
                <w:sz w:val="18"/>
                <w:szCs w:val="18"/>
                <w:u w:val="none"/>
                <w:lang w:val="en-US" w:eastAsia="zh-CN" w:bidi="ar"/>
                <w14:ligatures w14:val="none"/>
              </w:rPr>
              <w:t xml:space="preserve"> </w:t>
            </w:r>
            <w:r>
              <w:rPr>
                <w:rFonts w:hint="default" w:ascii="Times New Roman" w:hAnsi="Times New Roman" w:eastAsia="宋体" w:cs="Times New Roman"/>
                <w:i w:val="0"/>
                <w:iCs w:val="0"/>
                <w:color w:val="000000"/>
                <w:kern w:val="0"/>
                <w:sz w:val="18"/>
                <w:szCs w:val="18"/>
                <w:u w:val="none"/>
                <w:lang w:val="en-US" w:eastAsia="zh-CN" w:bidi="ar"/>
                <w14:ligatures w14:val="none"/>
              </w:rPr>
              <w:t>centrations to remain above target MICs, while prevent</w:t>
            </w:r>
            <w:r>
              <w:rPr>
                <w:rFonts w:ascii="Times New Roman" w:hAnsi="Arial" w:eastAsia="宋体" w:cs="Arial"/>
                <w:i w:val="0"/>
                <w:iCs w:val="0"/>
                <w:color w:val="000000"/>
                <w:kern w:val="0"/>
                <w:sz w:val="18"/>
                <w:szCs w:val="18"/>
                <w:u w:val="none"/>
                <w:lang w:val="en-US" w:eastAsia="zh-CN" w:bidi="ar"/>
                <w14:ligatures w14:val="none"/>
              </w:rPr>
              <w:t xml:space="preserve"> </w:t>
            </w: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ing excessively high peak concentrations caused by bolus </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application.</w:t>
            </w:r>
          </w:p>
        </w:tc>
      </w:tr>
      <w:tr w14:paraId="05CED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7" w:type="dxa"/>
            <w:tcBorders>
              <w:top w:val="nil"/>
              <w:left w:val="nil"/>
              <w:bottom w:val="nil"/>
              <w:right w:val="nil"/>
            </w:tcBorders>
            <w:shd w:val="clear" w:color="auto" w:fill="FFFFFF"/>
            <w:noWrap/>
            <w:vAlign w:val="center"/>
          </w:tcPr>
          <w:p w14:paraId="4188DB0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Venuti 2023</w:t>
            </w:r>
          </w:p>
        </w:tc>
        <w:tc>
          <w:tcPr>
            <w:tcW w:w="1430" w:type="dxa"/>
            <w:tcBorders>
              <w:top w:val="nil"/>
              <w:left w:val="nil"/>
              <w:bottom w:val="nil"/>
              <w:right w:val="nil"/>
            </w:tcBorders>
            <w:shd w:val="clear" w:color="auto" w:fill="FFFFFF"/>
            <w:noWrap/>
            <w:vAlign w:val="center"/>
          </w:tcPr>
          <w:p w14:paraId="298B6D2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Retrospective study</w:t>
            </w:r>
          </w:p>
        </w:tc>
        <w:tc>
          <w:tcPr>
            <w:tcW w:w="1403" w:type="dxa"/>
            <w:tcBorders>
              <w:top w:val="nil"/>
              <w:left w:val="nil"/>
              <w:bottom w:val="nil"/>
              <w:right w:val="nil"/>
            </w:tcBorders>
            <w:shd w:val="clear" w:color="auto" w:fill="FFFFFF"/>
            <w:noWrap/>
            <w:vAlign w:val="center"/>
          </w:tcPr>
          <w:p w14:paraId="311210C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Italy</w:t>
            </w:r>
          </w:p>
        </w:tc>
        <w:tc>
          <w:tcPr>
            <w:tcW w:w="775" w:type="dxa"/>
            <w:tcBorders>
              <w:top w:val="nil"/>
              <w:left w:val="nil"/>
              <w:bottom w:val="nil"/>
              <w:right w:val="nil"/>
            </w:tcBorders>
            <w:shd w:val="clear" w:color="auto" w:fill="FFFFFF"/>
            <w:noWrap/>
            <w:vAlign w:val="center"/>
          </w:tcPr>
          <w:p w14:paraId="1A62F776">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3</w:t>
            </w:r>
          </w:p>
        </w:tc>
        <w:tc>
          <w:tcPr>
            <w:tcW w:w="2010" w:type="dxa"/>
            <w:tcBorders>
              <w:top w:val="nil"/>
              <w:left w:val="nil"/>
              <w:bottom w:val="nil"/>
              <w:right w:val="nil"/>
            </w:tcBorders>
            <w:shd w:val="clear" w:color="auto" w:fill="FFFFFF"/>
            <w:vAlign w:val="center"/>
          </w:tcPr>
          <w:p w14:paraId="40FD309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Ceftolozane-tazobactam</w:t>
            </w:r>
          </w:p>
        </w:tc>
        <w:tc>
          <w:tcPr>
            <w:tcW w:w="4099" w:type="dxa"/>
            <w:tcBorders>
              <w:top w:val="nil"/>
              <w:left w:val="nil"/>
              <w:bottom w:val="nil"/>
              <w:right w:val="nil"/>
            </w:tcBorders>
            <w:shd w:val="clear" w:color="auto" w:fill="FFFFFF"/>
            <w:vAlign w:val="center"/>
          </w:tcPr>
          <w:p w14:paraId="04B7378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The percentage of target attainment (ƒT &gt; 4 × MIC for ceftolozane and ƒT &gt; 0.5 mg/L for tazobactam) was 100% for both drugs.</w:t>
            </w:r>
          </w:p>
        </w:tc>
        <w:tc>
          <w:tcPr>
            <w:tcW w:w="3662" w:type="dxa"/>
            <w:tcBorders>
              <w:top w:val="nil"/>
              <w:left w:val="nil"/>
              <w:bottom w:val="nil"/>
              <w:right w:val="nil"/>
            </w:tcBorders>
            <w:shd w:val="clear" w:color="auto" w:fill="FFFFFF"/>
            <w:vAlign w:val="center"/>
          </w:tcPr>
          <w:p w14:paraId="2CE9BD00">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Clinical resolution: 3/4(episodes)(75%);</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Microbiological Clearance: 3/3(100%)</w:t>
            </w:r>
          </w:p>
        </w:tc>
      </w:tr>
      <w:tr w14:paraId="7C972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7" w:type="dxa"/>
            <w:tcBorders>
              <w:top w:val="nil"/>
              <w:left w:val="nil"/>
              <w:bottom w:val="nil"/>
              <w:right w:val="nil"/>
            </w:tcBorders>
            <w:shd w:val="clear" w:color="auto" w:fill="FFFFFF"/>
            <w:noWrap/>
            <w:vAlign w:val="center"/>
          </w:tcPr>
          <w:p w14:paraId="3D52E740">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Navarrete-rouco 2022</w:t>
            </w:r>
          </w:p>
        </w:tc>
        <w:tc>
          <w:tcPr>
            <w:tcW w:w="1430" w:type="dxa"/>
            <w:tcBorders>
              <w:top w:val="nil"/>
              <w:left w:val="nil"/>
              <w:bottom w:val="nil"/>
              <w:right w:val="nil"/>
            </w:tcBorders>
            <w:shd w:val="clear" w:color="auto" w:fill="FFFFFF"/>
            <w:noWrap/>
            <w:vAlign w:val="center"/>
          </w:tcPr>
          <w:p w14:paraId="13D36FC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Observational Study</w:t>
            </w:r>
          </w:p>
        </w:tc>
        <w:tc>
          <w:tcPr>
            <w:tcW w:w="1403" w:type="dxa"/>
            <w:tcBorders>
              <w:top w:val="nil"/>
              <w:left w:val="nil"/>
              <w:bottom w:val="nil"/>
              <w:right w:val="nil"/>
            </w:tcBorders>
            <w:shd w:val="clear" w:color="auto" w:fill="FFFFFF"/>
            <w:noWrap/>
            <w:vAlign w:val="center"/>
          </w:tcPr>
          <w:p w14:paraId="2354C07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Spain</w:t>
            </w:r>
          </w:p>
        </w:tc>
        <w:tc>
          <w:tcPr>
            <w:tcW w:w="775" w:type="dxa"/>
            <w:tcBorders>
              <w:top w:val="nil"/>
              <w:left w:val="nil"/>
              <w:bottom w:val="nil"/>
              <w:right w:val="nil"/>
            </w:tcBorders>
            <w:shd w:val="clear" w:color="auto" w:fill="FFFFFF"/>
            <w:noWrap/>
            <w:vAlign w:val="center"/>
          </w:tcPr>
          <w:p w14:paraId="236B5DDE">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40</w:t>
            </w:r>
          </w:p>
        </w:tc>
        <w:tc>
          <w:tcPr>
            <w:tcW w:w="2010" w:type="dxa"/>
            <w:tcBorders>
              <w:top w:val="nil"/>
              <w:left w:val="nil"/>
              <w:bottom w:val="nil"/>
              <w:right w:val="nil"/>
            </w:tcBorders>
            <w:shd w:val="clear" w:color="auto" w:fill="FFFFFF"/>
            <w:vAlign w:val="center"/>
          </w:tcPr>
          <w:p w14:paraId="1EE13D2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Ceftolozane-tazobactam</w:t>
            </w:r>
          </w:p>
        </w:tc>
        <w:tc>
          <w:tcPr>
            <w:tcW w:w="4099" w:type="dxa"/>
            <w:tcBorders>
              <w:top w:val="nil"/>
              <w:left w:val="nil"/>
              <w:bottom w:val="nil"/>
              <w:right w:val="nil"/>
            </w:tcBorders>
            <w:shd w:val="clear" w:color="auto" w:fill="FFFFFF"/>
            <w:vAlign w:val="center"/>
          </w:tcPr>
          <w:p w14:paraId="0DFFE01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All patients achieved the  pharmacokinetic/pharmacodynamic target and C/T concentrations exceeded 10×MIC in &gt; 50% of patients in both groups.</w:t>
            </w:r>
          </w:p>
        </w:tc>
        <w:tc>
          <w:tcPr>
            <w:tcW w:w="3662" w:type="dxa"/>
            <w:tcBorders>
              <w:top w:val="nil"/>
              <w:left w:val="nil"/>
              <w:bottom w:val="nil"/>
              <w:right w:val="nil"/>
            </w:tcBorders>
            <w:shd w:val="clear" w:color="auto" w:fill="FFFFFF"/>
            <w:noWrap/>
            <w:vAlign w:val="center"/>
          </w:tcPr>
          <w:p w14:paraId="0814609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Clinical resolution: 33/40(82.5%)</w:t>
            </w:r>
          </w:p>
        </w:tc>
      </w:tr>
      <w:tr w14:paraId="296E2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7" w:type="dxa"/>
            <w:tcBorders>
              <w:top w:val="nil"/>
              <w:left w:val="nil"/>
              <w:bottom w:val="nil"/>
              <w:right w:val="nil"/>
            </w:tcBorders>
            <w:shd w:val="clear" w:color="auto" w:fill="FFFFFF"/>
            <w:noWrap/>
            <w:vAlign w:val="center"/>
          </w:tcPr>
          <w:p w14:paraId="3A18350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Sheffield 2020</w:t>
            </w:r>
          </w:p>
        </w:tc>
        <w:tc>
          <w:tcPr>
            <w:tcW w:w="1430" w:type="dxa"/>
            <w:tcBorders>
              <w:top w:val="nil"/>
              <w:left w:val="nil"/>
              <w:bottom w:val="nil"/>
              <w:right w:val="nil"/>
            </w:tcBorders>
            <w:shd w:val="clear" w:color="auto" w:fill="FFFFFF"/>
            <w:noWrap/>
            <w:vAlign w:val="center"/>
          </w:tcPr>
          <w:p w14:paraId="7F29D79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case series</w:t>
            </w:r>
          </w:p>
        </w:tc>
        <w:tc>
          <w:tcPr>
            <w:tcW w:w="1403" w:type="dxa"/>
            <w:tcBorders>
              <w:top w:val="nil"/>
              <w:left w:val="nil"/>
              <w:bottom w:val="nil"/>
              <w:right w:val="nil"/>
            </w:tcBorders>
            <w:shd w:val="clear" w:color="auto" w:fill="FFFFFF"/>
            <w:noWrap/>
            <w:vAlign w:val="center"/>
          </w:tcPr>
          <w:p w14:paraId="1C5941A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USA</w:t>
            </w:r>
          </w:p>
        </w:tc>
        <w:tc>
          <w:tcPr>
            <w:tcW w:w="775" w:type="dxa"/>
            <w:tcBorders>
              <w:top w:val="nil"/>
              <w:left w:val="nil"/>
              <w:bottom w:val="nil"/>
              <w:right w:val="nil"/>
            </w:tcBorders>
            <w:shd w:val="clear" w:color="auto" w:fill="FFFFFF"/>
            <w:noWrap/>
            <w:vAlign w:val="center"/>
          </w:tcPr>
          <w:p w14:paraId="61D81FCB">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4</w:t>
            </w:r>
          </w:p>
        </w:tc>
        <w:tc>
          <w:tcPr>
            <w:tcW w:w="2010" w:type="dxa"/>
            <w:tcBorders>
              <w:top w:val="nil"/>
              <w:left w:val="nil"/>
              <w:bottom w:val="nil"/>
              <w:right w:val="nil"/>
            </w:tcBorders>
            <w:shd w:val="clear" w:color="auto" w:fill="FFFFFF"/>
            <w:vAlign w:val="center"/>
          </w:tcPr>
          <w:p w14:paraId="71BF7816">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Ceftolozane-tazobactam</w:t>
            </w:r>
          </w:p>
        </w:tc>
        <w:tc>
          <w:tcPr>
            <w:tcW w:w="4099" w:type="dxa"/>
            <w:tcBorders>
              <w:top w:val="nil"/>
              <w:left w:val="nil"/>
              <w:bottom w:val="nil"/>
              <w:right w:val="nil"/>
            </w:tcBorders>
            <w:shd w:val="clear" w:color="auto" w:fill="FFFFFF"/>
            <w:vAlign w:val="center"/>
          </w:tcPr>
          <w:p w14:paraId="0CA4B612">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Percent of interval at goal concentration</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(ƒT&gt;4 × MIC):100%</w:t>
            </w:r>
          </w:p>
        </w:tc>
        <w:tc>
          <w:tcPr>
            <w:tcW w:w="3662" w:type="dxa"/>
            <w:tcBorders>
              <w:top w:val="nil"/>
              <w:left w:val="nil"/>
              <w:bottom w:val="nil"/>
              <w:right w:val="nil"/>
            </w:tcBorders>
            <w:shd w:val="clear" w:color="auto" w:fill="FFFFFF"/>
            <w:noWrap/>
            <w:vAlign w:val="center"/>
          </w:tcPr>
          <w:p w14:paraId="095DBBB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Clinical resolution:4/4(100%)</w:t>
            </w:r>
          </w:p>
        </w:tc>
      </w:tr>
      <w:tr w14:paraId="68C8E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7" w:type="dxa"/>
            <w:tcBorders>
              <w:top w:val="nil"/>
              <w:left w:val="nil"/>
              <w:bottom w:val="nil"/>
              <w:right w:val="nil"/>
            </w:tcBorders>
            <w:shd w:val="clear" w:color="auto" w:fill="FFFFFF"/>
            <w:noWrap/>
            <w:vAlign w:val="center"/>
          </w:tcPr>
          <w:p w14:paraId="40E4ADE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Pilmis 2019</w:t>
            </w:r>
          </w:p>
        </w:tc>
        <w:tc>
          <w:tcPr>
            <w:tcW w:w="1430" w:type="dxa"/>
            <w:tcBorders>
              <w:top w:val="nil"/>
              <w:left w:val="nil"/>
              <w:bottom w:val="nil"/>
              <w:right w:val="nil"/>
            </w:tcBorders>
            <w:shd w:val="clear" w:color="auto" w:fill="FFFFFF"/>
            <w:noWrap/>
            <w:vAlign w:val="center"/>
          </w:tcPr>
          <w:p w14:paraId="69CF0A7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Prospective, cohort</w:t>
            </w:r>
          </w:p>
        </w:tc>
        <w:tc>
          <w:tcPr>
            <w:tcW w:w="1403" w:type="dxa"/>
            <w:tcBorders>
              <w:top w:val="nil"/>
              <w:left w:val="nil"/>
              <w:bottom w:val="nil"/>
              <w:right w:val="nil"/>
            </w:tcBorders>
            <w:shd w:val="clear" w:color="auto" w:fill="FFFFFF"/>
            <w:noWrap/>
            <w:vAlign w:val="center"/>
          </w:tcPr>
          <w:p w14:paraId="075B097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France</w:t>
            </w:r>
          </w:p>
        </w:tc>
        <w:tc>
          <w:tcPr>
            <w:tcW w:w="775" w:type="dxa"/>
            <w:tcBorders>
              <w:top w:val="nil"/>
              <w:left w:val="nil"/>
              <w:bottom w:val="nil"/>
              <w:right w:val="nil"/>
            </w:tcBorders>
            <w:shd w:val="clear" w:color="auto" w:fill="FFFFFF"/>
            <w:noWrap/>
            <w:vAlign w:val="center"/>
          </w:tcPr>
          <w:p w14:paraId="3D22CE23">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72</w:t>
            </w:r>
          </w:p>
        </w:tc>
        <w:tc>
          <w:tcPr>
            <w:tcW w:w="2010" w:type="dxa"/>
            <w:tcBorders>
              <w:top w:val="nil"/>
              <w:left w:val="nil"/>
              <w:bottom w:val="nil"/>
              <w:right w:val="nil"/>
            </w:tcBorders>
            <w:shd w:val="clear" w:color="auto" w:fill="FFFFFF"/>
            <w:noWrap/>
            <w:vAlign w:val="center"/>
          </w:tcPr>
          <w:p w14:paraId="1FFE5B8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Ceftolozane-tazobactam</w:t>
            </w:r>
          </w:p>
        </w:tc>
        <w:tc>
          <w:tcPr>
            <w:tcW w:w="4099" w:type="dxa"/>
            <w:tcBorders>
              <w:top w:val="nil"/>
              <w:left w:val="nil"/>
              <w:bottom w:val="nil"/>
              <w:right w:val="nil"/>
            </w:tcBorders>
            <w:shd w:val="clear" w:color="auto" w:fill="FFFFFF"/>
            <w:vAlign w:val="center"/>
          </w:tcPr>
          <w:p w14:paraId="3B0C4742">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100% PTA(probability of target attainment) with 90% ƒT&gt;4 × MIC:</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IB: MIC ≤ 0.5 μg/mL</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PI: MIC ≤ 1 μg/mL</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CI: MIC ≤ 6 μg/mL</w:t>
            </w:r>
          </w:p>
        </w:tc>
        <w:tc>
          <w:tcPr>
            <w:tcW w:w="3662" w:type="dxa"/>
            <w:tcBorders>
              <w:top w:val="nil"/>
              <w:left w:val="nil"/>
              <w:bottom w:val="nil"/>
              <w:right w:val="nil"/>
            </w:tcBorders>
            <w:shd w:val="clear" w:color="auto" w:fill="FFFFFF"/>
            <w:vAlign w:val="center"/>
          </w:tcPr>
          <w:p w14:paraId="6CB0B0A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CI C/T was associated with a higher PTA.</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Only the CI dosing strategy achieved&gt;90% probability of achieving PD target of ƒT&gt;4 × MIC for 90% of the dosing interval with MICs ≥ 2 μg/mL</w:t>
            </w:r>
          </w:p>
        </w:tc>
      </w:tr>
      <w:tr w14:paraId="0F0A5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7" w:type="dxa"/>
            <w:tcBorders>
              <w:top w:val="nil"/>
              <w:left w:val="nil"/>
              <w:bottom w:val="nil"/>
              <w:right w:val="nil"/>
            </w:tcBorders>
            <w:shd w:val="clear" w:color="auto" w:fill="FFFFFF"/>
            <w:noWrap/>
            <w:vAlign w:val="center"/>
          </w:tcPr>
          <w:p w14:paraId="1AB50DC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Sime 2019</w:t>
            </w:r>
          </w:p>
        </w:tc>
        <w:tc>
          <w:tcPr>
            <w:tcW w:w="1430" w:type="dxa"/>
            <w:tcBorders>
              <w:top w:val="nil"/>
              <w:left w:val="nil"/>
              <w:bottom w:val="nil"/>
              <w:right w:val="nil"/>
            </w:tcBorders>
            <w:shd w:val="clear" w:color="auto" w:fill="FFFFFF"/>
            <w:noWrap/>
            <w:vAlign w:val="center"/>
          </w:tcPr>
          <w:p w14:paraId="57C1BE7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Prospective observational study</w:t>
            </w:r>
          </w:p>
        </w:tc>
        <w:tc>
          <w:tcPr>
            <w:tcW w:w="1403" w:type="dxa"/>
            <w:tcBorders>
              <w:top w:val="nil"/>
              <w:left w:val="nil"/>
              <w:bottom w:val="nil"/>
              <w:right w:val="nil"/>
            </w:tcBorders>
            <w:shd w:val="clear" w:color="auto" w:fill="FFFFFF"/>
            <w:noWrap/>
            <w:vAlign w:val="center"/>
          </w:tcPr>
          <w:p w14:paraId="33E29E4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Australia</w:t>
            </w:r>
          </w:p>
        </w:tc>
        <w:tc>
          <w:tcPr>
            <w:tcW w:w="775" w:type="dxa"/>
            <w:tcBorders>
              <w:top w:val="nil"/>
              <w:left w:val="nil"/>
              <w:bottom w:val="nil"/>
              <w:right w:val="nil"/>
            </w:tcBorders>
            <w:shd w:val="clear" w:color="auto" w:fill="FFFFFF"/>
            <w:noWrap/>
            <w:vAlign w:val="center"/>
          </w:tcPr>
          <w:p w14:paraId="7FFD8C85">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12</w:t>
            </w:r>
          </w:p>
        </w:tc>
        <w:tc>
          <w:tcPr>
            <w:tcW w:w="2010" w:type="dxa"/>
            <w:tcBorders>
              <w:top w:val="nil"/>
              <w:left w:val="nil"/>
              <w:bottom w:val="nil"/>
              <w:right w:val="nil"/>
            </w:tcBorders>
            <w:shd w:val="clear" w:color="auto" w:fill="FFFFFF"/>
            <w:vAlign w:val="center"/>
          </w:tcPr>
          <w:p w14:paraId="35BBBE4F">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Ceftolozane-tazobactam</w:t>
            </w:r>
          </w:p>
        </w:tc>
        <w:tc>
          <w:tcPr>
            <w:tcW w:w="4099" w:type="dxa"/>
            <w:tcBorders>
              <w:top w:val="nil"/>
              <w:left w:val="nil"/>
              <w:bottom w:val="nil"/>
              <w:right w:val="nil"/>
            </w:tcBorders>
            <w:shd w:val="clear" w:color="auto" w:fill="FFFFFF"/>
            <w:vAlign w:val="center"/>
          </w:tcPr>
          <w:p w14:paraId="697F2FD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100% PTA with 100%</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ƒT&gt;MIC at steady state</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(48–72 h):</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b/>
                <w:bCs/>
                <w:i w:val="0"/>
                <w:iCs w:val="0"/>
                <w:color w:val="000000"/>
                <w:kern w:val="0"/>
                <w:sz w:val="18"/>
                <w:szCs w:val="18"/>
                <w:u w:val="none"/>
                <w:lang w:val="en-US" w:eastAsia="zh-CN" w:bidi="ar"/>
                <w14:ligatures w14:val="none"/>
              </w:rPr>
              <w:t>1.5 g</w:t>
            </w: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 infused over </w:t>
            </w:r>
            <w:r>
              <w:rPr>
                <w:rFonts w:hint="default" w:ascii="Times New Roman" w:hAnsi="Times New Roman" w:eastAsia="宋体" w:cs="Times New Roman"/>
                <w:b/>
                <w:bCs/>
                <w:i w:val="0"/>
                <w:iCs w:val="0"/>
                <w:color w:val="000000"/>
                <w:kern w:val="0"/>
                <w:sz w:val="18"/>
                <w:szCs w:val="18"/>
                <w:u w:val="none"/>
                <w:lang w:val="en-US" w:eastAsia="zh-CN" w:bidi="ar"/>
                <w14:ligatures w14:val="none"/>
              </w:rPr>
              <w:t>1 h</w:t>
            </w:r>
            <w:r>
              <w:rPr>
                <w:rFonts w:hint="default" w:ascii="Times New Roman" w:hAnsi="Times New Roman" w:eastAsia="宋体" w:cs="Times New Roman"/>
                <w:b/>
                <w:bCs/>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b/>
                <w:bCs/>
                <w:i w:val="0"/>
                <w:iCs w:val="0"/>
                <w:color w:val="000000"/>
                <w:kern w:val="0"/>
                <w:sz w:val="18"/>
                <w:szCs w:val="18"/>
                <w:u w:val="none"/>
                <w:lang w:val="en-US" w:eastAsia="zh-CN" w:bidi="ar"/>
                <w14:ligatures w14:val="none"/>
              </w:rPr>
              <w:t>q8h</w:t>
            </w:r>
            <w:r>
              <w:rPr>
                <w:rFonts w:hint="default" w:ascii="Times New Roman" w:hAnsi="Times New Roman" w:eastAsia="宋体" w:cs="Times New Roman"/>
                <w:i w:val="0"/>
                <w:iCs w:val="0"/>
                <w:color w:val="000000"/>
                <w:kern w:val="0"/>
                <w:sz w:val="18"/>
                <w:szCs w:val="18"/>
                <w:u w:val="none"/>
                <w:lang w:val="en-US" w:eastAsia="zh-CN" w:bidi="ar"/>
                <w14:ligatures w14:val="none"/>
              </w:rPr>
              <w:t>: MIC ≤ 2 μg/mL</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b/>
                <w:bCs/>
                <w:i w:val="0"/>
                <w:iCs w:val="0"/>
                <w:color w:val="000000"/>
                <w:kern w:val="0"/>
                <w:sz w:val="18"/>
                <w:szCs w:val="18"/>
                <w:u w:val="none"/>
                <w:lang w:val="en-US" w:eastAsia="zh-CN" w:bidi="ar"/>
                <w14:ligatures w14:val="none"/>
              </w:rPr>
              <w:t>1.5 g</w:t>
            </w: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 infused over </w:t>
            </w:r>
            <w:r>
              <w:rPr>
                <w:rFonts w:hint="default" w:ascii="Times New Roman" w:hAnsi="Times New Roman" w:eastAsia="宋体" w:cs="Times New Roman"/>
                <w:b/>
                <w:bCs/>
                <w:i w:val="0"/>
                <w:iCs w:val="0"/>
                <w:color w:val="000000"/>
                <w:kern w:val="0"/>
                <w:sz w:val="18"/>
                <w:szCs w:val="18"/>
                <w:u w:val="none"/>
                <w:lang w:val="en-US" w:eastAsia="zh-CN" w:bidi="ar"/>
                <w14:ligatures w14:val="none"/>
              </w:rPr>
              <w:t>4 h</w:t>
            </w:r>
            <w:r>
              <w:rPr>
                <w:rFonts w:hint="default" w:ascii="Times New Roman" w:hAnsi="Times New Roman" w:eastAsia="宋体" w:cs="Times New Roman"/>
                <w:b/>
                <w:bCs/>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b/>
                <w:bCs/>
                <w:i w:val="0"/>
                <w:iCs w:val="0"/>
                <w:color w:val="000000"/>
                <w:kern w:val="0"/>
                <w:sz w:val="18"/>
                <w:szCs w:val="18"/>
                <w:u w:val="none"/>
                <w:lang w:val="en-US" w:eastAsia="zh-CN" w:bidi="ar"/>
                <w14:ligatures w14:val="none"/>
              </w:rPr>
              <w:t>q8h</w:t>
            </w:r>
            <w:r>
              <w:rPr>
                <w:rFonts w:hint="default" w:ascii="Times New Roman" w:hAnsi="Times New Roman" w:eastAsia="宋体" w:cs="Times New Roman"/>
                <w:i w:val="0"/>
                <w:iCs w:val="0"/>
                <w:color w:val="000000"/>
                <w:kern w:val="0"/>
                <w:sz w:val="18"/>
                <w:szCs w:val="18"/>
                <w:u w:val="none"/>
                <w:lang w:val="en-US" w:eastAsia="zh-CN" w:bidi="ar"/>
                <w14:ligatures w14:val="none"/>
              </w:rPr>
              <w:t>: MIC ≤ 2 μg/mL</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1.5 g LD + 4.5 g CI:</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MIC ≤ 4 μg/mL</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b/>
                <w:bCs/>
                <w:i w:val="0"/>
                <w:iCs w:val="0"/>
                <w:color w:val="000000"/>
                <w:kern w:val="0"/>
                <w:sz w:val="18"/>
                <w:szCs w:val="18"/>
                <w:u w:val="none"/>
                <w:lang w:val="en-US" w:eastAsia="zh-CN" w:bidi="ar"/>
                <w14:ligatures w14:val="none"/>
              </w:rPr>
              <w:t>3 g</w:t>
            </w: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 infused over </w:t>
            </w:r>
            <w:r>
              <w:rPr>
                <w:rFonts w:hint="default" w:ascii="Times New Roman" w:hAnsi="Times New Roman" w:eastAsia="宋体" w:cs="Times New Roman"/>
                <w:b/>
                <w:bCs/>
                <w:i w:val="0"/>
                <w:iCs w:val="0"/>
                <w:color w:val="000000"/>
                <w:kern w:val="0"/>
                <w:sz w:val="18"/>
                <w:szCs w:val="18"/>
                <w:u w:val="none"/>
                <w:lang w:val="en-US" w:eastAsia="zh-CN" w:bidi="ar"/>
                <w14:ligatures w14:val="none"/>
              </w:rPr>
              <w:t>1 h</w:t>
            </w:r>
            <w:r>
              <w:rPr>
                <w:rFonts w:hint="default" w:ascii="Times New Roman" w:hAnsi="Times New Roman" w:eastAsia="宋体" w:cs="Times New Roman"/>
                <w:b/>
                <w:bCs/>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b/>
                <w:bCs/>
                <w:i w:val="0"/>
                <w:iCs w:val="0"/>
                <w:color w:val="000000"/>
                <w:kern w:val="0"/>
                <w:sz w:val="18"/>
                <w:szCs w:val="18"/>
                <w:u w:val="none"/>
                <w:lang w:val="en-US" w:eastAsia="zh-CN" w:bidi="ar"/>
                <w14:ligatures w14:val="none"/>
              </w:rPr>
              <w:t>q8h</w:t>
            </w:r>
            <w:r>
              <w:rPr>
                <w:rFonts w:hint="default" w:ascii="Times New Roman" w:hAnsi="Times New Roman" w:eastAsia="宋体" w:cs="Times New Roman"/>
                <w:i w:val="0"/>
                <w:iCs w:val="0"/>
                <w:color w:val="000000"/>
                <w:kern w:val="0"/>
                <w:sz w:val="18"/>
                <w:szCs w:val="18"/>
                <w:u w:val="none"/>
                <w:lang w:val="en-US" w:eastAsia="zh-CN" w:bidi="ar"/>
                <w14:ligatures w14:val="none"/>
              </w:rPr>
              <w:t>: MIC ≤ 4 μg/mL</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b/>
                <w:bCs/>
                <w:i w:val="0"/>
                <w:iCs w:val="0"/>
                <w:color w:val="000000"/>
                <w:kern w:val="0"/>
                <w:sz w:val="18"/>
                <w:szCs w:val="18"/>
                <w:u w:val="none"/>
                <w:lang w:val="en-US" w:eastAsia="zh-CN" w:bidi="ar"/>
                <w14:ligatures w14:val="none"/>
              </w:rPr>
              <w:t>3 g</w:t>
            </w: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 infused over </w:t>
            </w:r>
            <w:r>
              <w:rPr>
                <w:rFonts w:hint="default" w:ascii="Times New Roman" w:hAnsi="Times New Roman" w:eastAsia="宋体" w:cs="Times New Roman"/>
                <w:b/>
                <w:bCs/>
                <w:i w:val="0"/>
                <w:iCs w:val="0"/>
                <w:color w:val="000000"/>
                <w:kern w:val="0"/>
                <w:sz w:val="18"/>
                <w:szCs w:val="18"/>
                <w:u w:val="none"/>
                <w:lang w:val="en-US" w:eastAsia="zh-CN" w:bidi="ar"/>
                <w14:ligatures w14:val="none"/>
              </w:rPr>
              <w:t>4 h</w:t>
            </w:r>
            <w:r>
              <w:rPr>
                <w:rFonts w:hint="default" w:ascii="Times New Roman" w:hAnsi="Times New Roman" w:eastAsia="宋体" w:cs="Times New Roman"/>
                <w:b/>
                <w:bCs/>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b/>
                <w:bCs/>
                <w:i w:val="0"/>
                <w:iCs w:val="0"/>
                <w:color w:val="000000"/>
                <w:kern w:val="0"/>
                <w:sz w:val="18"/>
                <w:szCs w:val="18"/>
                <w:u w:val="none"/>
                <w:lang w:val="en-US" w:eastAsia="zh-CN" w:bidi="ar"/>
                <w14:ligatures w14:val="none"/>
              </w:rPr>
              <w:t>q8h</w:t>
            </w:r>
            <w:r>
              <w:rPr>
                <w:rFonts w:hint="default" w:ascii="Times New Roman" w:hAnsi="Times New Roman" w:eastAsia="宋体" w:cs="Times New Roman"/>
                <w:i w:val="0"/>
                <w:iCs w:val="0"/>
                <w:color w:val="000000"/>
                <w:kern w:val="0"/>
                <w:sz w:val="18"/>
                <w:szCs w:val="18"/>
                <w:u w:val="none"/>
                <w:lang w:val="en-US" w:eastAsia="zh-CN" w:bidi="ar"/>
                <w14:ligatures w14:val="none"/>
              </w:rPr>
              <w:t>: MIC ≤ 4 μg/mL</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b/>
                <w:bCs/>
                <w:i w:val="0"/>
                <w:iCs w:val="0"/>
                <w:color w:val="000000"/>
                <w:kern w:val="0"/>
                <w:sz w:val="18"/>
                <w:szCs w:val="18"/>
                <w:u w:val="none"/>
                <w:lang w:val="en-US" w:eastAsia="zh-CN" w:bidi="ar"/>
                <w14:ligatures w14:val="none"/>
              </w:rPr>
              <w:t>3 g</w:t>
            </w: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 loading dose + </w:t>
            </w:r>
            <w:r>
              <w:rPr>
                <w:rFonts w:hint="default" w:ascii="Times New Roman" w:hAnsi="Times New Roman" w:eastAsia="宋体" w:cs="Times New Roman"/>
                <w:b/>
                <w:bCs/>
                <w:i w:val="0"/>
                <w:iCs w:val="0"/>
                <w:color w:val="000000"/>
                <w:kern w:val="0"/>
                <w:sz w:val="18"/>
                <w:szCs w:val="18"/>
                <w:u w:val="none"/>
                <w:lang w:val="en-US" w:eastAsia="zh-CN" w:bidi="ar"/>
                <w14:ligatures w14:val="none"/>
              </w:rPr>
              <w:t>9 g</w:t>
            </w: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 continuous infusion: MIC≤ 16 μg/mL.</w:t>
            </w:r>
          </w:p>
        </w:tc>
        <w:tc>
          <w:tcPr>
            <w:tcW w:w="3662" w:type="dxa"/>
            <w:tcBorders>
              <w:top w:val="nil"/>
              <w:left w:val="nil"/>
              <w:bottom w:val="nil"/>
              <w:right w:val="nil"/>
            </w:tcBorders>
            <w:shd w:val="clear" w:color="auto" w:fill="FFFFFF"/>
            <w:vAlign w:val="center"/>
          </w:tcPr>
          <w:p w14:paraId="0BAC1EAF">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CI C/T dosing regimens were associated with higher PTA(probability of target attainment)s and are more likely to ensure adequate empirical coverage, especially in critically ill patients with augmented renal clearance.</w:t>
            </w:r>
          </w:p>
        </w:tc>
      </w:tr>
      <w:tr w14:paraId="5672A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7" w:type="dxa"/>
            <w:tcBorders>
              <w:top w:val="nil"/>
              <w:left w:val="nil"/>
              <w:bottom w:val="nil"/>
              <w:right w:val="nil"/>
            </w:tcBorders>
            <w:shd w:val="clear" w:color="auto" w:fill="FFFFFF"/>
            <w:noWrap/>
            <w:vAlign w:val="center"/>
          </w:tcPr>
          <w:p w14:paraId="302230A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Mccreary 2020</w:t>
            </w:r>
          </w:p>
        </w:tc>
        <w:tc>
          <w:tcPr>
            <w:tcW w:w="1430" w:type="dxa"/>
            <w:tcBorders>
              <w:top w:val="nil"/>
              <w:left w:val="nil"/>
              <w:bottom w:val="nil"/>
              <w:right w:val="nil"/>
            </w:tcBorders>
            <w:shd w:val="clear" w:color="auto" w:fill="FFFFFF"/>
            <w:noWrap/>
            <w:vAlign w:val="center"/>
          </w:tcPr>
          <w:p w14:paraId="7D2F43E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Case report</w:t>
            </w:r>
          </w:p>
        </w:tc>
        <w:tc>
          <w:tcPr>
            <w:tcW w:w="1403" w:type="dxa"/>
            <w:tcBorders>
              <w:top w:val="nil"/>
              <w:left w:val="nil"/>
              <w:bottom w:val="nil"/>
              <w:right w:val="nil"/>
            </w:tcBorders>
            <w:shd w:val="clear" w:color="auto" w:fill="FFFFFF"/>
            <w:noWrap/>
            <w:vAlign w:val="center"/>
          </w:tcPr>
          <w:p w14:paraId="2B5C3295">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USA</w:t>
            </w:r>
          </w:p>
        </w:tc>
        <w:tc>
          <w:tcPr>
            <w:tcW w:w="775" w:type="dxa"/>
            <w:tcBorders>
              <w:top w:val="nil"/>
              <w:left w:val="nil"/>
              <w:bottom w:val="nil"/>
              <w:right w:val="nil"/>
            </w:tcBorders>
            <w:shd w:val="clear" w:color="auto" w:fill="FFFFFF"/>
            <w:noWrap/>
            <w:vAlign w:val="center"/>
          </w:tcPr>
          <w:p w14:paraId="792E95F7">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w:t>
            </w:r>
          </w:p>
        </w:tc>
        <w:tc>
          <w:tcPr>
            <w:tcW w:w="2010" w:type="dxa"/>
            <w:tcBorders>
              <w:top w:val="nil"/>
              <w:left w:val="nil"/>
              <w:bottom w:val="nil"/>
              <w:right w:val="nil"/>
            </w:tcBorders>
            <w:shd w:val="clear" w:color="auto" w:fill="FFFFFF"/>
            <w:vAlign w:val="center"/>
          </w:tcPr>
          <w:p w14:paraId="1A87DE2D">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Ceftolozane-tazobactam</w:t>
            </w:r>
          </w:p>
        </w:tc>
        <w:tc>
          <w:tcPr>
            <w:tcW w:w="4099" w:type="dxa"/>
            <w:tcBorders>
              <w:top w:val="nil"/>
              <w:left w:val="nil"/>
              <w:bottom w:val="nil"/>
              <w:right w:val="nil"/>
            </w:tcBorders>
            <w:shd w:val="clear" w:color="auto" w:fill="FFFFFF"/>
            <w:vAlign w:val="center"/>
          </w:tcPr>
          <w:p w14:paraId="406EF632">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Yes</w:t>
            </w:r>
          </w:p>
        </w:tc>
        <w:tc>
          <w:tcPr>
            <w:tcW w:w="3662" w:type="dxa"/>
            <w:tcBorders>
              <w:top w:val="nil"/>
              <w:left w:val="nil"/>
              <w:bottom w:val="nil"/>
              <w:right w:val="nil"/>
            </w:tcBorders>
            <w:shd w:val="clear" w:color="auto" w:fill="FFFFFF"/>
            <w:noWrap/>
            <w:vAlign w:val="center"/>
          </w:tcPr>
          <w:p w14:paraId="5012FA8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Clinical resolution</w:t>
            </w:r>
          </w:p>
        </w:tc>
      </w:tr>
      <w:tr w14:paraId="227F8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7" w:type="dxa"/>
            <w:tcBorders>
              <w:top w:val="nil"/>
              <w:left w:val="nil"/>
              <w:bottom w:val="nil"/>
              <w:right w:val="nil"/>
            </w:tcBorders>
            <w:shd w:val="clear" w:color="auto" w:fill="FFFFFF"/>
            <w:noWrap/>
            <w:vAlign w:val="center"/>
          </w:tcPr>
          <w:p w14:paraId="03AEB0F0">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Davis 2019</w:t>
            </w:r>
          </w:p>
        </w:tc>
        <w:tc>
          <w:tcPr>
            <w:tcW w:w="1430" w:type="dxa"/>
            <w:tcBorders>
              <w:top w:val="nil"/>
              <w:left w:val="nil"/>
              <w:bottom w:val="nil"/>
              <w:right w:val="nil"/>
            </w:tcBorders>
            <w:shd w:val="clear" w:color="auto" w:fill="FFFFFF"/>
            <w:noWrap/>
            <w:vAlign w:val="center"/>
          </w:tcPr>
          <w:p w14:paraId="44D8556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Case report</w:t>
            </w:r>
          </w:p>
        </w:tc>
        <w:tc>
          <w:tcPr>
            <w:tcW w:w="1403" w:type="dxa"/>
            <w:tcBorders>
              <w:top w:val="nil"/>
              <w:left w:val="nil"/>
              <w:bottom w:val="nil"/>
              <w:right w:val="nil"/>
            </w:tcBorders>
            <w:shd w:val="clear" w:color="auto" w:fill="FFFFFF"/>
            <w:noWrap/>
            <w:vAlign w:val="center"/>
          </w:tcPr>
          <w:p w14:paraId="4103B66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USA</w:t>
            </w:r>
          </w:p>
        </w:tc>
        <w:tc>
          <w:tcPr>
            <w:tcW w:w="775" w:type="dxa"/>
            <w:tcBorders>
              <w:top w:val="nil"/>
              <w:left w:val="nil"/>
              <w:bottom w:val="nil"/>
              <w:right w:val="nil"/>
            </w:tcBorders>
            <w:shd w:val="clear" w:color="auto" w:fill="FFFFFF"/>
            <w:noWrap/>
            <w:vAlign w:val="center"/>
          </w:tcPr>
          <w:p w14:paraId="5D19540C">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w:t>
            </w:r>
          </w:p>
        </w:tc>
        <w:tc>
          <w:tcPr>
            <w:tcW w:w="2010" w:type="dxa"/>
            <w:tcBorders>
              <w:top w:val="nil"/>
              <w:left w:val="nil"/>
              <w:bottom w:val="nil"/>
              <w:right w:val="nil"/>
            </w:tcBorders>
            <w:shd w:val="clear" w:color="auto" w:fill="FFFFFF"/>
            <w:vAlign w:val="center"/>
          </w:tcPr>
          <w:p w14:paraId="47AC995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Ceftolozane-tazobactam</w:t>
            </w:r>
          </w:p>
        </w:tc>
        <w:tc>
          <w:tcPr>
            <w:tcW w:w="4099" w:type="dxa"/>
            <w:tcBorders>
              <w:top w:val="nil"/>
              <w:left w:val="nil"/>
              <w:bottom w:val="nil"/>
              <w:right w:val="nil"/>
            </w:tcBorders>
            <w:shd w:val="clear" w:color="auto" w:fill="FFFFFF"/>
            <w:vAlign w:val="center"/>
          </w:tcPr>
          <w:p w14:paraId="31E45E9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ƒT&gt;4 × MIC for 100% of the dosing interval</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Ceftolozane AUC: 542.9 μg•(h/mL)</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Tazobactam AUC: 55.3 μg•(h/mL)</w:t>
            </w:r>
          </w:p>
        </w:tc>
        <w:tc>
          <w:tcPr>
            <w:tcW w:w="3662" w:type="dxa"/>
            <w:tcBorders>
              <w:top w:val="nil"/>
              <w:left w:val="nil"/>
              <w:bottom w:val="nil"/>
              <w:right w:val="nil"/>
            </w:tcBorders>
            <w:shd w:val="clear" w:color="auto" w:fill="FFFFFF"/>
            <w:noWrap/>
            <w:vAlign w:val="center"/>
          </w:tcPr>
          <w:p w14:paraId="3DE83C8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Clinical resolution</w:t>
            </w:r>
          </w:p>
        </w:tc>
      </w:tr>
      <w:tr w14:paraId="0560A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7" w:type="dxa"/>
            <w:tcBorders>
              <w:top w:val="nil"/>
              <w:left w:val="nil"/>
              <w:bottom w:val="nil"/>
              <w:right w:val="nil"/>
            </w:tcBorders>
            <w:shd w:val="clear" w:color="auto" w:fill="FFFFFF"/>
            <w:noWrap/>
            <w:vAlign w:val="center"/>
          </w:tcPr>
          <w:p w14:paraId="6872487D">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Stewart 2018</w:t>
            </w:r>
          </w:p>
        </w:tc>
        <w:tc>
          <w:tcPr>
            <w:tcW w:w="1430" w:type="dxa"/>
            <w:tcBorders>
              <w:top w:val="nil"/>
              <w:left w:val="nil"/>
              <w:bottom w:val="nil"/>
              <w:right w:val="nil"/>
            </w:tcBorders>
            <w:shd w:val="clear" w:color="auto" w:fill="FFFFFF"/>
            <w:noWrap/>
            <w:vAlign w:val="center"/>
          </w:tcPr>
          <w:p w14:paraId="26FF3BD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Case report</w:t>
            </w:r>
          </w:p>
        </w:tc>
        <w:tc>
          <w:tcPr>
            <w:tcW w:w="1403" w:type="dxa"/>
            <w:tcBorders>
              <w:top w:val="nil"/>
              <w:left w:val="nil"/>
              <w:bottom w:val="nil"/>
              <w:right w:val="nil"/>
            </w:tcBorders>
            <w:shd w:val="clear" w:color="auto" w:fill="FFFFFF"/>
            <w:noWrap/>
            <w:vAlign w:val="center"/>
          </w:tcPr>
          <w:p w14:paraId="319BD75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Australia</w:t>
            </w:r>
          </w:p>
        </w:tc>
        <w:tc>
          <w:tcPr>
            <w:tcW w:w="775" w:type="dxa"/>
            <w:tcBorders>
              <w:top w:val="nil"/>
              <w:left w:val="nil"/>
              <w:bottom w:val="nil"/>
              <w:right w:val="nil"/>
            </w:tcBorders>
            <w:shd w:val="clear" w:color="auto" w:fill="FFFFFF"/>
            <w:noWrap/>
            <w:vAlign w:val="center"/>
          </w:tcPr>
          <w:p w14:paraId="0908FD08">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w:t>
            </w:r>
          </w:p>
        </w:tc>
        <w:tc>
          <w:tcPr>
            <w:tcW w:w="2010" w:type="dxa"/>
            <w:tcBorders>
              <w:top w:val="nil"/>
              <w:left w:val="nil"/>
              <w:bottom w:val="nil"/>
              <w:right w:val="nil"/>
            </w:tcBorders>
            <w:shd w:val="clear" w:color="auto" w:fill="FFFFFF"/>
            <w:vAlign w:val="center"/>
          </w:tcPr>
          <w:p w14:paraId="39C1C6E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Ceftolozane-tazobactam</w:t>
            </w:r>
          </w:p>
        </w:tc>
        <w:tc>
          <w:tcPr>
            <w:tcW w:w="4099" w:type="dxa"/>
            <w:tcBorders>
              <w:top w:val="nil"/>
              <w:left w:val="nil"/>
              <w:bottom w:val="nil"/>
              <w:right w:val="nil"/>
            </w:tcBorders>
            <w:shd w:val="clear" w:color="auto" w:fill="FFFFFF"/>
            <w:vAlign w:val="center"/>
          </w:tcPr>
          <w:p w14:paraId="79A7019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Inpatient TDM: ƒT&gt;4–5 × MIC for 100% of the dosing interval Ceftolozane concentrations: 37.3± 1.4 μg/mL;</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Tazobactam concentrations: 6.57±1.78 μg/mL</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Outpatient TDM:</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ƒT&gt;4–5 × MIC for 100% of the dosing interval Ceftolozane concentrations: 34.8± 0.2μg/mL;</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Tazobactam concentrations: 7.66±0.79 μg/mL</w:t>
            </w:r>
          </w:p>
        </w:tc>
        <w:tc>
          <w:tcPr>
            <w:tcW w:w="3662" w:type="dxa"/>
            <w:tcBorders>
              <w:top w:val="nil"/>
              <w:left w:val="nil"/>
              <w:bottom w:val="nil"/>
              <w:right w:val="nil"/>
            </w:tcBorders>
            <w:shd w:val="clear" w:color="auto" w:fill="FFFFFF"/>
            <w:vAlign w:val="center"/>
          </w:tcPr>
          <w:p w14:paraId="734A934D">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Clinical resolution;</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Significant reduction in the cavitating lung lesion</w:t>
            </w:r>
          </w:p>
        </w:tc>
      </w:tr>
      <w:tr w14:paraId="17D66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87" w:type="dxa"/>
            <w:tcBorders>
              <w:top w:val="nil"/>
              <w:left w:val="nil"/>
              <w:bottom w:val="nil"/>
              <w:right w:val="nil"/>
            </w:tcBorders>
            <w:shd w:val="clear" w:color="auto" w:fill="FFFFFF"/>
            <w:noWrap/>
            <w:vAlign w:val="center"/>
          </w:tcPr>
          <w:p w14:paraId="48EC7A0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Gattia 2023</w:t>
            </w:r>
          </w:p>
        </w:tc>
        <w:tc>
          <w:tcPr>
            <w:tcW w:w="1430" w:type="dxa"/>
            <w:tcBorders>
              <w:top w:val="nil"/>
              <w:left w:val="nil"/>
              <w:bottom w:val="nil"/>
              <w:right w:val="nil"/>
            </w:tcBorders>
            <w:shd w:val="clear" w:color="auto" w:fill="FFFFFF"/>
            <w:noWrap/>
            <w:vAlign w:val="center"/>
          </w:tcPr>
          <w:p w14:paraId="2A961CD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case series</w:t>
            </w:r>
          </w:p>
        </w:tc>
        <w:tc>
          <w:tcPr>
            <w:tcW w:w="1403" w:type="dxa"/>
            <w:tcBorders>
              <w:top w:val="nil"/>
              <w:left w:val="nil"/>
              <w:bottom w:val="nil"/>
              <w:right w:val="nil"/>
            </w:tcBorders>
            <w:shd w:val="clear" w:color="auto" w:fill="FFFFFF"/>
            <w:noWrap/>
            <w:vAlign w:val="center"/>
          </w:tcPr>
          <w:p w14:paraId="46A1E73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Italy</w:t>
            </w:r>
          </w:p>
        </w:tc>
        <w:tc>
          <w:tcPr>
            <w:tcW w:w="775" w:type="dxa"/>
            <w:tcBorders>
              <w:top w:val="nil"/>
              <w:left w:val="nil"/>
              <w:bottom w:val="nil"/>
              <w:right w:val="nil"/>
            </w:tcBorders>
            <w:shd w:val="clear" w:color="auto" w:fill="FFFFFF"/>
            <w:noWrap/>
            <w:vAlign w:val="center"/>
          </w:tcPr>
          <w:p w14:paraId="7B64DFCD">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10</w:t>
            </w:r>
          </w:p>
        </w:tc>
        <w:tc>
          <w:tcPr>
            <w:tcW w:w="2010" w:type="dxa"/>
            <w:tcBorders>
              <w:top w:val="nil"/>
              <w:left w:val="nil"/>
              <w:bottom w:val="nil"/>
              <w:right w:val="nil"/>
            </w:tcBorders>
            <w:shd w:val="clear" w:color="auto" w:fill="FFFFFF"/>
            <w:noWrap/>
            <w:vAlign w:val="center"/>
          </w:tcPr>
          <w:p w14:paraId="50932C0F">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Ceftazidime-avibactam</w:t>
            </w:r>
          </w:p>
        </w:tc>
        <w:tc>
          <w:tcPr>
            <w:tcW w:w="4099" w:type="dxa"/>
            <w:tcBorders>
              <w:top w:val="nil"/>
              <w:left w:val="nil"/>
              <w:bottom w:val="nil"/>
              <w:right w:val="nil"/>
            </w:tcBorders>
            <w:shd w:val="clear" w:color="auto" w:fill="FFFFFF"/>
            <w:vAlign w:val="center"/>
          </w:tcPr>
          <w:p w14:paraId="7322819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The joint PK/PD target of ceftazidime-avibactam was considered as optimal when both Css/MIC ratio for ceftazidime ≥4 (equivalent to 100%fT&gt;4×MIC) and Css/CT ratio for avibactam &gt;1 (equivalent to 100% fT&gt;CT of 4.0 mg/L) were simultaneously achieved.</w:t>
            </w:r>
          </w:p>
        </w:tc>
        <w:tc>
          <w:tcPr>
            <w:tcW w:w="3662" w:type="dxa"/>
            <w:tcBorders>
              <w:top w:val="nil"/>
              <w:left w:val="nil"/>
              <w:bottom w:val="nil"/>
              <w:right w:val="nil"/>
            </w:tcBorders>
            <w:shd w:val="clear" w:color="auto" w:fill="FFFFFF"/>
            <w:vAlign w:val="center"/>
          </w:tcPr>
          <w:p w14:paraId="051DB5C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 Microbiological eradication: 8/10(80%)</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2. Overall 30-day mortality: 3/10(30%)</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3. Ceftazidime-avibactam resistance: 1/10(10%)</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4. PTA(probability of target attainment) of PK/PD targets: 8/10(80%)</w:t>
            </w:r>
          </w:p>
        </w:tc>
      </w:tr>
      <w:tr w14:paraId="657FC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7" w:type="dxa"/>
            <w:tcBorders>
              <w:top w:val="nil"/>
              <w:left w:val="nil"/>
              <w:bottom w:val="nil"/>
              <w:right w:val="nil"/>
            </w:tcBorders>
            <w:shd w:val="clear" w:color="auto" w:fill="FFFFFF"/>
            <w:noWrap/>
            <w:vAlign w:val="center"/>
          </w:tcPr>
          <w:p w14:paraId="3AF4D9C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Fresan 2023</w:t>
            </w:r>
          </w:p>
        </w:tc>
        <w:tc>
          <w:tcPr>
            <w:tcW w:w="1430" w:type="dxa"/>
            <w:tcBorders>
              <w:top w:val="nil"/>
              <w:left w:val="nil"/>
              <w:bottom w:val="nil"/>
              <w:right w:val="nil"/>
            </w:tcBorders>
            <w:shd w:val="clear" w:color="auto" w:fill="FFFFFF"/>
            <w:noWrap/>
            <w:vAlign w:val="center"/>
          </w:tcPr>
          <w:p w14:paraId="1C4EE4B6">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retrospective cohort study</w:t>
            </w:r>
          </w:p>
        </w:tc>
        <w:tc>
          <w:tcPr>
            <w:tcW w:w="1403" w:type="dxa"/>
            <w:tcBorders>
              <w:top w:val="nil"/>
              <w:left w:val="nil"/>
              <w:bottom w:val="nil"/>
              <w:right w:val="nil"/>
            </w:tcBorders>
            <w:shd w:val="clear" w:color="auto" w:fill="FFFFFF"/>
            <w:noWrap/>
            <w:vAlign w:val="center"/>
          </w:tcPr>
          <w:p w14:paraId="380A4B5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Spain</w:t>
            </w:r>
          </w:p>
        </w:tc>
        <w:tc>
          <w:tcPr>
            <w:tcW w:w="775" w:type="dxa"/>
            <w:tcBorders>
              <w:top w:val="nil"/>
              <w:left w:val="nil"/>
              <w:bottom w:val="nil"/>
              <w:right w:val="nil"/>
            </w:tcBorders>
            <w:shd w:val="clear" w:color="auto" w:fill="FFFFFF"/>
            <w:noWrap/>
            <w:vAlign w:val="center"/>
          </w:tcPr>
          <w:p w14:paraId="3472764F">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31</w:t>
            </w:r>
          </w:p>
        </w:tc>
        <w:tc>
          <w:tcPr>
            <w:tcW w:w="2010" w:type="dxa"/>
            <w:tcBorders>
              <w:top w:val="nil"/>
              <w:left w:val="nil"/>
              <w:bottom w:val="nil"/>
              <w:right w:val="nil"/>
            </w:tcBorders>
            <w:shd w:val="clear" w:color="auto" w:fill="FFFFFF"/>
            <w:noWrap/>
            <w:vAlign w:val="center"/>
          </w:tcPr>
          <w:p w14:paraId="3ECD20D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Ceftazidime-avibactam</w:t>
            </w:r>
          </w:p>
        </w:tc>
        <w:tc>
          <w:tcPr>
            <w:tcW w:w="4099" w:type="dxa"/>
            <w:tcBorders>
              <w:top w:val="nil"/>
              <w:left w:val="nil"/>
              <w:bottom w:val="nil"/>
              <w:right w:val="nil"/>
            </w:tcBorders>
            <w:shd w:val="clear" w:color="auto" w:fill="FFFFFF"/>
            <w:vAlign w:val="center"/>
          </w:tcPr>
          <w:p w14:paraId="506522A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Target of ceftazidime/avibactam was defined as 100%fT &gt; 4 × MIC of the causative pathogen, and 100%fT &gt; 10 × MIC was considered overexposure</w:t>
            </w:r>
          </w:p>
        </w:tc>
        <w:tc>
          <w:tcPr>
            <w:tcW w:w="3662" w:type="dxa"/>
            <w:tcBorders>
              <w:top w:val="nil"/>
              <w:left w:val="nil"/>
              <w:bottom w:val="nil"/>
              <w:right w:val="nil"/>
            </w:tcBorders>
            <w:shd w:val="clear" w:color="auto" w:fill="FFFFFF"/>
            <w:noWrap/>
            <w:vAlign w:val="center"/>
          </w:tcPr>
          <w:p w14:paraId="4B583F1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Overall clinical cure in target group: 18/26(59%)</w:t>
            </w:r>
          </w:p>
        </w:tc>
      </w:tr>
      <w:tr w14:paraId="1CA27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7" w:type="dxa"/>
            <w:tcBorders>
              <w:top w:val="nil"/>
              <w:left w:val="nil"/>
              <w:bottom w:val="nil"/>
              <w:right w:val="nil"/>
            </w:tcBorders>
            <w:shd w:val="clear" w:color="auto" w:fill="FFFFFF"/>
            <w:noWrap/>
            <w:vAlign w:val="center"/>
          </w:tcPr>
          <w:p w14:paraId="6EA5D42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Yasmin 2021</w:t>
            </w:r>
          </w:p>
        </w:tc>
        <w:tc>
          <w:tcPr>
            <w:tcW w:w="1430" w:type="dxa"/>
            <w:tcBorders>
              <w:top w:val="nil"/>
              <w:left w:val="nil"/>
              <w:bottom w:val="nil"/>
              <w:right w:val="nil"/>
            </w:tcBorders>
            <w:shd w:val="clear" w:color="auto" w:fill="FFFFFF"/>
            <w:noWrap/>
            <w:vAlign w:val="center"/>
          </w:tcPr>
          <w:p w14:paraId="345E94D2">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case series</w:t>
            </w:r>
          </w:p>
        </w:tc>
        <w:tc>
          <w:tcPr>
            <w:tcW w:w="1403" w:type="dxa"/>
            <w:tcBorders>
              <w:top w:val="nil"/>
              <w:left w:val="nil"/>
              <w:bottom w:val="nil"/>
              <w:right w:val="nil"/>
            </w:tcBorders>
            <w:shd w:val="clear" w:color="auto" w:fill="FFFFFF"/>
            <w:noWrap/>
            <w:vAlign w:val="center"/>
          </w:tcPr>
          <w:p w14:paraId="70A9154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USA</w:t>
            </w:r>
          </w:p>
        </w:tc>
        <w:tc>
          <w:tcPr>
            <w:tcW w:w="775" w:type="dxa"/>
            <w:tcBorders>
              <w:top w:val="nil"/>
              <w:left w:val="nil"/>
              <w:bottom w:val="nil"/>
              <w:right w:val="nil"/>
            </w:tcBorders>
            <w:shd w:val="clear" w:color="auto" w:fill="FFFFFF"/>
            <w:noWrap/>
            <w:vAlign w:val="center"/>
          </w:tcPr>
          <w:p w14:paraId="59336F75">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3</w:t>
            </w:r>
          </w:p>
        </w:tc>
        <w:tc>
          <w:tcPr>
            <w:tcW w:w="2010" w:type="dxa"/>
            <w:tcBorders>
              <w:top w:val="nil"/>
              <w:left w:val="nil"/>
              <w:bottom w:val="nil"/>
              <w:right w:val="nil"/>
            </w:tcBorders>
            <w:shd w:val="clear" w:color="auto" w:fill="FFFFFF"/>
            <w:noWrap/>
            <w:vAlign w:val="center"/>
          </w:tcPr>
          <w:p w14:paraId="33799D4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Ceftazidime-avibactam</w:t>
            </w:r>
          </w:p>
        </w:tc>
        <w:tc>
          <w:tcPr>
            <w:tcW w:w="4099" w:type="dxa"/>
            <w:tcBorders>
              <w:top w:val="nil"/>
              <w:left w:val="nil"/>
              <w:bottom w:val="nil"/>
              <w:right w:val="nil"/>
            </w:tcBorders>
            <w:shd w:val="clear" w:color="auto" w:fill="FFFFFF"/>
            <w:vAlign w:val="center"/>
          </w:tcPr>
          <w:p w14:paraId="5F4A377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The PK/PD target correlated with bacterial killing is 50% fT &gt;MIC</w:t>
            </w:r>
          </w:p>
        </w:tc>
        <w:tc>
          <w:tcPr>
            <w:tcW w:w="3662" w:type="dxa"/>
            <w:tcBorders>
              <w:top w:val="nil"/>
              <w:left w:val="nil"/>
              <w:bottom w:val="nil"/>
              <w:right w:val="nil"/>
            </w:tcBorders>
            <w:shd w:val="clear" w:color="auto" w:fill="FFFFFF"/>
            <w:vAlign w:val="center"/>
          </w:tcPr>
          <w:p w14:paraId="030E760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 Clinical cure: 3/3(100%);</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2. Microbiological cure: 3/3(100%)</w:t>
            </w:r>
          </w:p>
        </w:tc>
      </w:tr>
      <w:tr w14:paraId="2814E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7" w:type="dxa"/>
            <w:tcBorders>
              <w:top w:val="nil"/>
              <w:left w:val="nil"/>
              <w:bottom w:val="nil"/>
              <w:right w:val="nil"/>
            </w:tcBorders>
            <w:shd w:val="clear" w:color="auto" w:fill="FFFFFF"/>
            <w:noWrap/>
            <w:vAlign w:val="center"/>
          </w:tcPr>
          <w:p w14:paraId="24BB093D">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Goncette 2021</w:t>
            </w:r>
          </w:p>
        </w:tc>
        <w:tc>
          <w:tcPr>
            <w:tcW w:w="1430" w:type="dxa"/>
            <w:tcBorders>
              <w:top w:val="nil"/>
              <w:left w:val="nil"/>
              <w:bottom w:val="nil"/>
              <w:right w:val="nil"/>
            </w:tcBorders>
            <w:shd w:val="clear" w:color="auto" w:fill="FFFFFF"/>
            <w:noWrap/>
            <w:vAlign w:val="center"/>
          </w:tcPr>
          <w:p w14:paraId="0F9FAA2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retrospective cohort study</w:t>
            </w:r>
          </w:p>
        </w:tc>
        <w:tc>
          <w:tcPr>
            <w:tcW w:w="1403" w:type="dxa"/>
            <w:tcBorders>
              <w:top w:val="nil"/>
              <w:left w:val="nil"/>
              <w:bottom w:val="nil"/>
              <w:right w:val="nil"/>
            </w:tcBorders>
            <w:shd w:val="clear" w:color="auto" w:fill="FFFFFF"/>
            <w:noWrap/>
            <w:vAlign w:val="center"/>
          </w:tcPr>
          <w:p w14:paraId="6BC1A1B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Belgium</w:t>
            </w:r>
          </w:p>
        </w:tc>
        <w:tc>
          <w:tcPr>
            <w:tcW w:w="775" w:type="dxa"/>
            <w:tcBorders>
              <w:top w:val="nil"/>
              <w:left w:val="nil"/>
              <w:bottom w:val="nil"/>
              <w:right w:val="nil"/>
            </w:tcBorders>
            <w:shd w:val="clear" w:color="auto" w:fill="FFFFFF"/>
            <w:noWrap/>
            <w:vAlign w:val="center"/>
          </w:tcPr>
          <w:p w14:paraId="5ADE65D1">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10</w:t>
            </w:r>
          </w:p>
        </w:tc>
        <w:tc>
          <w:tcPr>
            <w:tcW w:w="2010" w:type="dxa"/>
            <w:tcBorders>
              <w:top w:val="nil"/>
              <w:left w:val="nil"/>
              <w:bottom w:val="nil"/>
              <w:right w:val="nil"/>
            </w:tcBorders>
            <w:shd w:val="clear" w:color="auto" w:fill="FFFFFF"/>
            <w:noWrap/>
            <w:vAlign w:val="center"/>
          </w:tcPr>
          <w:p w14:paraId="58F27E6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Ceftazidime-avibactam</w:t>
            </w:r>
          </w:p>
        </w:tc>
        <w:tc>
          <w:tcPr>
            <w:tcW w:w="4099" w:type="dxa"/>
            <w:tcBorders>
              <w:top w:val="nil"/>
              <w:left w:val="nil"/>
              <w:bottom w:val="nil"/>
              <w:right w:val="nil"/>
            </w:tcBorders>
            <w:shd w:val="clear" w:color="auto" w:fill="FFFFFF"/>
            <w:vAlign w:val="center"/>
          </w:tcPr>
          <w:p w14:paraId="5FB5AAE5">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 therapeutic goal of ≥4–5 × MIC in plasma and/or at the site of infection.</w:t>
            </w:r>
          </w:p>
        </w:tc>
        <w:tc>
          <w:tcPr>
            <w:tcW w:w="3662" w:type="dxa"/>
            <w:tcBorders>
              <w:top w:val="nil"/>
              <w:left w:val="nil"/>
              <w:bottom w:val="nil"/>
              <w:right w:val="nil"/>
            </w:tcBorders>
            <w:shd w:val="clear" w:color="auto" w:fill="FFFFFF"/>
            <w:vAlign w:val="center"/>
          </w:tcPr>
          <w:p w14:paraId="0E50F50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 Clinical cure: 8/10(80%);</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2. Microbiological Eradication: 6/10(60%)</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3. 30-day mortality: 1/10(60%)</w:t>
            </w:r>
          </w:p>
        </w:tc>
      </w:tr>
      <w:tr w14:paraId="75276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7" w:type="dxa"/>
            <w:tcBorders>
              <w:top w:val="nil"/>
              <w:left w:val="nil"/>
              <w:bottom w:val="nil"/>
              <w:right w:val="nil"/>
            </w:tcBorders>
            <w:shd w:val="clear" w:color="auto" w:fill="FFFFFF"/>
            <w:noWrap/>
            <w:vAlign w:val="center"/>
          </w:tcPr>
          <w:p w14:paraId="59A2299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Liu 2023</w:t>
            </w:r>
          </w:p>
        </w:tc>
        <w:tc>
          <w:tcPr>
            <w:tcW w:w="1430" w:type="dxa"/>
            <w:tcBorders>
              <w:top w:val="nil"/>
              <w:left w:val="nil"/>
              <w:bottom w:val="nil"/>
              <w:right w:val="nil"/>
            </w:tcBorders>
            <w:shd w:val="clear" w:color="auto" w:fill="FFFFFF"/>
            <w:vAlign w:val="center"/>
          </w:tcPr>
          <w:p w14:paraId="55BE76E0">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RCT (extract subgroup data)</w:t>
            </w:r>
          </w:p>
        </w:tc>
        <w:tc>
          <w:tcPr>
            <w:tcW w:w="1403" w:type="dxa"/>
            <w:tcBorders>
              <w:top w:val="nil"/>
              <w:left w:val="nil"/>
              <w:bottom w:val="nil"/>
              <w:right w:val="nil"/>
            </w:tcBorders>
            <w:shd w:val="clear" w:color="auto" w:fill="FFFFFF"/>
            <w:noWrap/>
            <w:vAlign w:val="center"/>
          </w:tcPr>
          <w:p w14:paraId="60246642">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China</w:t>
            </w:r>
          </w:p>
        </w:tc>
        <w:tc>
          <w:tcPr>
            <w:tcW w:w="775" w:type="dxa"/>
            <w:tcBorders>
              <w:top w:val="nil"/>
              <w:left w:val="nil"/>
              <w:bottom w:val="nil"/>
              <w:right w:val="nil"/>
            </w:tcBorders>
            <w:shd w:val="clear" w:color="auto" w:fill="FFFFFF"/>
            <w:noWrap/>
            <w:vAlign w:val="center"/>
          </w:tcPr>
          <w:p w14:paraId="51000AB6">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258</w:t>
            </w:r>
          </w:p>
        </w:tc>
        <w:tc>
          <w:tcPr>
            <w:tcW w:w="2010" w:type="dxa"/>
            <w:tcBorders>
              <w:top w:val="nil"/>
              <w:left w:val="nil"/>
              <w:bottom w:val="nil"/>
              <w:right w:val="nil"/>
            </w:tcBorders>
            <w:shd w:val="clear" w:color="auto" w:fill="FFFFFF"/>
            <w:noWrap/>
            <w:vAlign w:val="center"/>
          </w:tcPr>
          <w:p w14:paraId="4CE9075F">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Polymyxin B</w:t>
            </w:r>
          </w:p>
        </w:tc>
        <w:tc>
          <w:tcPr>
            <w:tcW w:w="4099" w:type="dxa"/>
            <w:tcBorders>
              <w:top w:val="nil"/>
              <w:left w:val="nil"/>
              <w:bottom w:val="nil"/>
              <w:right w:val="nil"/>
            </w:tcBorders>
            <w:shd w:val="clear" w:color="auto" w:fill="FFFFFF"/>
            <w:vAlign w:val="center"/>
          </w:tcPr>
          <w:p w14:paraId="6FFE178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ssAUC0–24 achieving rate (50–100  mg·h/L)</w:t>
            </w:r>
          </w:p>
        </w:tc>
        <w:tc>
          <w:tcPr>
            <w:tcW w:w="3662" w:type="dxa"/>
            <w:tcBorders>
              <w:top w:val="nil"/>
              <w:left w:val="nil"/>
              <w:bottom w:val="nil"/>
              <w:right w:val="nil"/>
            </w:tcBorders>
            <w:shd w:val="clear" w:color="auto" w:fill="FFFFFF"/>
            <w:vAlign w:val="center"/>
          </w:tcPr>
          <w:p w14:paraId="2D9A920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 PTA(probability of target attainment) of PK/PD targets: 132/258(51.2%);</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2. 14-day response in target group: 88/132(67%);</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3. 14-day mortality in target group: 24/132(18%);</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4. 28-day mortality in target group:39/132(30%);</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5. Microbiological failure in target group: 53/132(40%);</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6. Ventilated-free days at 28 days in target group: Q2(Q1, Q3): 11(5, 19);</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7.ICU days in target group: 88/132(67%) in target group: Q2(Q1, Q3): 24(17, 37);</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8.Length of hospital stay in target group: Q2(Q1, Q3): 58(24, -);</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9. Adverse events in target group: 70/132(53%);</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10. Acute kidney injury in target group: 35/132(27%);</w:t>
            </w:r>
          </w:p>
        </w:tc>
      </w:tr>
      <w:tr w14:paraId="33C64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7" w:type="dxa"/>
            <w:tcBorders>
              <w:top w:val="nil"/>
              <w:left w:val="nil"/>
              <w:bottom w:val="nil"/>
              <w:right w:val="nil"/>
            </w:tcBorders>
            <w:shd w:val="clear" w:color="auto" w:fill="FFFFFF"/>
            <w:noWrap/>
            <w:vAlign w:val="center"/>
          </w:tcPr>
          <w:p w14:paraId="4D188B0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Ye 2022</w:t>
            </w:r>
          </w:p>
        </w:tc>
        <w:tc>
          <w:tcPr>
            <w:tcW w:w="1430" w:type="dxa"/>
            <w:tcBorders>
              <w:top w:val="nil"/>
              <w:left w:val="nil"/>
              <w:bottom w:val="nil"/>
              <w:right w:val="nil"/>
            </w:tcBorders>
            <w:shd w:val="clear" w:color="auto" w:fill="FFFFFF"/>
            <w:noWrap/>
            <w:vAlign w:val="center"/>
          </w:tcPr>
          <w:p w14:paraId="1A00D36D">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retrospective cohort study</w:t>
            </w:r>
          </w:p>
        </w:tc>
        <w:tc>
          <w:tcPr>
            <w:tcW w:w="1403" w:type="dxa"/>
            <w:tcBorders>
              <w:top w:val="nil"/>
              <w:left w:val="nil"/>
              <w:bottom w:val="nil"/>
              <w:right w:val="nil"/>
            </w:tcBorders>
            <w:shd w:val="clear" w:color="auto" w:fill="FFFFFF"/>
            <w:noWrap/>
            <w:vAlign w:val="center"/>
          </w:tcPr>
          <w:p w14:paraId="2704BD0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China</w:t>
            </w:r>
          </w:p>
        </w:tc>
        <w:tc>
          <w:tcPr>
            <w:tcW w:w="775" w:type="dxa"/>
            <w:tcBorders>
              <w:top w:val="nil"/>
              <w:left w:val="nil"/>
              <w:bottom w:val="nil"/>
              <w:right w:val="nil"/>
            </w:tcBorders>
            <w:shd w:val="clear" w:color="auto" w:fill="FFFFFF"/>
            <w:noWrap/>
            <w:vAlign w:val="center"/>
          </w:tcPr>
          <w:p w14:paraId="0DABD03D">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62</w:t>
            </w:r>
          </w:p>
        </w:tc>
        <w:tc>
          <w:tcPr>
            <w:tcW w:w="2010" w:type="dxa"/>
            <w:tcBorders>
              <w:top w:val="nil"/>
              <w:left w:val="nil"/>
              <w:bottom w:val="nil"/>
              <w:right w:val="nil"/>
            </w:tcBorders>
            <w:shd w:val="clear" w:color="auto" w:fill="FFFFFF"/>
            <w:noWrap/>
            <w:vAlign w:val="center"/>
          </w:tcPr>
          <w:p w14:paraId="3ABFF2E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Polymyxin B</w:t>
            </w:r>
          </w:p>
        </w:tc>
        <w:tc>
          <w:tcPr>
            <w:tcW w:w="4099" w:type="dxa"/>
            <w:tcBorders>
              <w:top w:val="nil"/>
              <w:left w:val="nil"/>
              <w:bottom w:val="nil"/>
              <w:right w:val="nil"/>
            </w:tcBorders>
            <w:shd w:val="clear" w:color="auto" w:fill="FFFFFF"/>
            <w:vAlign w:val="center"/>
          </w:tcPr>
          <w:p w14:paraId="06BD05D6">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Target value of AUCss,24h was set to 50–</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100 mg h/L</w:t>
            </w:r>
          </w:p>
        </w:tc>
        <w:tc>
          <w:tcPr>
            <w:tcW w:w="3662" w:type="dxa"/>
            <w:tcBorders>
              <w:top w:val="nil"/>
              <w:left w:val="nil"/>
              <w:bottom w:val="nil"/>
              <w:right w:val="nil"/>
            </w:tcBorders>
            <w:shd w:val="clear" w:color="auto" w:fill="FFFFFF"/>
            <w:vAlign w:val="center"/>
          </w:tcPr>
          <w:p w14:paraId="687737D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 Favorable clinical response in target group: 15/19(79%)</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2. The incidence of acute kidney injury in target group: 11/19(58%)</w:t>
            </w:r>
          </w:p>
        </w:tc>
      </w:tr>
      <w:tr w14:paraId="6943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7" w:type="dxa"/>
            <w:tcBorders>
              <w:top w:val="nil"/>
              <w:left w:val="nil"/>
              <w:bottom w:val="nil"/>
              <w:right w:val="nil"/>
            </w:tcBorders>
            <w:shd w:val="clear" w:color="auto" w:fill="FFFFFF"/>
            <w:noWrap/>
            <w:vAlign w:val="center"/>
          </w:tcPr>
          <w:p w14:paraId="0497993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Bricheux 2018</w:t>
            </w:r>
          </w:p>
        </w:tc>
        <w:tc>
          <w:tcPr>
            <w:tcW w:w="1430" w:type="dxa"/>
            <w:tcBorders>
              <w:top w:val="nil"/>
              <w:left w:val="nil"/>
              <w:bottom w:val="nil"/>
              <w:right w:val="nil"/>
            </w:tcBorders>
            <w:shd w:val="clear" w:color="auto" w:fill="FFFFFF"/>
            <w:noWrap/>
            <w:vAlign w:val="center"/>
          </w:tcPr>
          <w:p w14:paraId="6E27FE25">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Retrospective cohort study</w:t>
            </w:r>
          </w:p>
        </w:tc>
        <w:tc>
          <w:tcPr>
            <w:tcW w:w="1403" w:type="dxa"/>
            <w:tcBorders>
              <w:top w:val="nil"/>
              <w:left w:val="nil"/>
              <w:bottom w:val="nil"/>
              <w:right w:val="nil"/>
            </w:tcBorders>
            <w:shd w:val="clear" w:color="auto" w:fill="FFFFFF"/>
            <w:noWrap/>
            <w:vAlign w:val="center"/>
          </w:tcPr>
          <w:p w14:paraId="5E6155F0">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Switzerland</w:t>
            </w:r>
          </w:p>
        </w:tc>
        <w:tc>
          <w:tcPr>
            <w:tcW w:w="775" w:type="dxa"/>
            <w:tcBorders>
              <w:top w:val="nil"/>
              <w:left w:val="nil"/>
              <w:bottom w:val="nil"/>
              <w:right w:val="nil"/>
            </w:tcBorders>
            <w:shd w:val="clear" w:color="auto" w:fill="FFFFFF"/>
            <w:noWrap/>
            <w:vAlign w:val="center"/>
          </w:tcPr>
          <w:p w14:paraId="40BA7B6C">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29</w:t>
            </w:r>
          </w:p>
        </w:tc>
        <w:tc>
          <w:tcPr>
            <w:tcW w:w="2010" w:type="dxa"/>
            <w:tcBorders>
              <w:top w:val="nil"/>
              <w:left w:val="nil"/>
              <w:bottom w:val="nil"/>
              <w:right w:val="nil"/>
            </w:tcBorders>
            <w:shd w:val="clear" w:color="auto" w:fill="FFFFFF"/>
            <w:noWrap/>
            <w:vAlign w:val="center"/>
          </w:tcPr>
          <w:p w14:paraId="636F525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Imipenem</w:t>
            </w:r>
          </w:p>
        </w:tc>
        <w:tc>
          <w:tcPr>
            <w:tcW w:w="4099" w:type="dxa"/>
            <w:tcBorders>
              <w:top w:val="nil"/>
              <w:left w:val="nil"/>
              <w:bottom w:val="nil"/>
              <w:right w:val="nil"/>
            </w:tcBorders>
            <w:shd w:val="clear" w:color="auto" w:fill="FFFFFF"/>
            <w:vAlign w:val="center"/>
          </w:tcPr>
          <w:p w14:paraId="421EEA4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With imipenem concentrations &lt;2 mg/L experienced failure more frequently.</w:t>
            </w:r>
          </w:p>
        </w:tc>
        <w:tc>
          <w:tcPr>
            <w:tcW w:w="3662" w:type="dxa"/>
            <w:tcBorders>
              <w:top w:val="nil"/>
              <w:left w:val="nil"/>
              <w:bottom w:val="nil"/>
              <w:right w:val="nil"/>
            </w:tcBorders>
            <w:shd w:val="clear" w:color="auto" w:fill="FFFFFF"/>
            <w:vAlign w:val="center"/>
          </w:tcPr>
          <w:p w14:paraId="0D3B047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1. Patients with clinical failure: 8/29(27.6%)</w:t>
            </w:r>
            <w:r>
              <w:rPr>
                <w:rFonts w:hint="eastAsia" w:ascii="Times New Roman" w:hAnsi="宋体" w:eastAsia="宋体" w:cs="宋体"/>
                <w:i w:val="0"/>
                <w:iCs w:val="0"/>
                <w:color w:val="000000"/>
                <w:kern w:val="0"/>
                <w:sz w:val="18"/>
                <w:szCs w:val="18"/>
                <w:u w:val="none"/>
                <w:lang w:val="en-US" w:eastAsia="zh-CN" w:bidi="ar"/>
                <w14:ligatures w14:val="none"/>
              </w:rPr>
              <w:br w:type="textWrapping"/>
            </w:r>
            <w:r>
              <w:rPr>
                <w:rFonts w:hint="eastAsia" w:ascii="Times New Roman" w:hAnsi="宋体" w:eastAsia="宋体" w:cs="宋体"/>
                <w:i w:val="0"/>
                <w:iCs w:val="0"/>
                <w:color w:val="000000"/>
                <w:kern w:val="0"/>
                <w:sz w:val="18"/>
                <w:szCs w:val="18"/>
                <w:u w:val="none"/>
                <w:lang w:val="en-US" w:eastAsia="zh-CN" w:bidi="ar"/>
                <w14:ligatures w14:val="none"/>
              </w:rPr>
              <w:t>2. While P. aeruginosa infection itself was not associated with failure, those with a pseudomonal infection and imipenem concentrations &lt;2 mg/L experienced failure more frequently (4/10, 40% vs. 4/19, 20%), though this small subgroup was underpowered (p 0.39)</w:t>
            </w:r>
          </w:p>
        </w:tc>
      </w:tr>
      <w:tr w14:paraId="6F9DC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87" w:type="dxa"/>
            <w:tcBorders>
              <w:top w:val="nil"/>
              <w:left w:val="nil"/>
              <w:bottom w:val="nil"/>
              <w:right w:val="nil"/>
            </w:tcBorders>
            <w:shd w:val="clear" w:color="auto" w:fill="FFFFFF"/>
            <w:noWrap/>
            <w:vAlign w:val="center"/>
          </w:tcPr>
          <w:p w14:paraId="4E997F7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Machado 2017</w:t>
            </w:r>
          </w:p>
        </w:tc>
        <w:tc>
          <w:tcPr>
            <w:tcW w:w="1430" w:type="dxa"/>
            <w:tcBorders>
              <w:top w:val="nil"/>
              <w:left w:val="nil"/>
              <w:bottom w:val="nil"/>
              <w:right w:val="nil"/>
            </w:tcBorders>
            <w:shd w:val="clear" w:color="auto" w:fill="FFFFFF"/>
            <w:noWrap/>
            <w:vAlign w:val="center"/>
          </w:tcPr>
          <w:p w14:paraId="7641E10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Retrospective cohort study</w:t>
            </w:r>
          </w:p>
        </w:tc>
        <w:tc>
          <w:tcPr>
            <w:tcW w:w="1403" w:type="dxa"/>
            <w:tcBorders>
              <w:top w:val="nil"/>
              <w:left w:val="nil"/>
              <w:bottom w:val="nil"/>
              <w:right w:val="nil"/>
            </w:tcBorders>
            <w:shd w:val="clear" w:color="auto" w:fill="FFFFFF"/>
            <w:noWrap/>
            <w:vAlign w:val="center"/>
          </w:tcPr>
          <w:p w14:paraId="7C6D205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Brazil</w:t>
            </w:r>
          </w:p>
        </w:tc>
        <w:tc>
          <w:tcPr>
            <w:tcW w:w="775" w:type="dxa"/>
            <w:tcBorders>
              <w:top w:val="nil"/>
              <w:left w:val="nil"/>
              <w:bottom w:val="nil"/>
              <w:right w:val="nil"/>
            </w:tcBorders>
            <w:shd w:val="clear" w:color="auto" w:fill="FFFFFF"/>
            <w:noWrap/>
            <w:vAlign w:val="center"/>
          </w:tcPr>
          <w:p w14:paraId="1BAE3CE7">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I: 63; C: 77</w:t>
            </w:r>
          </w:p>
        </w:tc>
        <w:tc>
          <w:tcPr>
            <w:tcW w:w="2010" w:type="dxa"/>
            <w:tcBorders>
              <w:top w:val="nil"/>
              <w:left w:val="nil"/>
              <w:bottom w:val="nil"/>
              <w:right w:val="nil"/>
            </w:tcBorders>
            <w:shd w:val="clear" w:color="auto" w:fill="FFFFFF"/>
            <w:noWrap/>
            <w:vAlign w:val="center"/>
          </w:tcPr>
          <w:p w14:paraId="5DC5E94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Imipenem</w:t>
            </w:r>
          </w:p>
        </w:tc>
        <w:tc>
          <w:tcPr>
            <w:tcW w:w="4099" w:type="dxa"/>
            <w:tcBorders>
              <w:top w:val="nil"/>
              <w:left w:val="nil"/>
              <w:bottom w:val="nil"/>
              <w:right w:val="nil"/>
            </w:tcBorders>
            <w:shd w:val="clear" w:color="auto" w:fill="FFFFFF"/>
            <w:vAlign w:val="center"/>
          </w:tcPr>
          <w:p w14:paraId="49DE26DD">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Patients achived the Suggested PK/PD TargetfΔT &gt;MIC=60%</w:t>
            </w:r>
          </w:p>
        </w:tc>
        <w:tc>
          <w:tcPr>
            <w:tcW w:w="3662" w:type="dxa"/>
            <w:tcBorders>
              <w:top w:val="nil"/>
              <w:left w:val="nil"/>
              <w:bottom w:val="nil"/>
              <w:right w:val="nil"/>
            </w:tcBorders>
            <w:shd w:val="clear" w:color="auto" w:fill="FFFFFF"/>
            <w:vAlign w:val="center"/>
          </w:tcPr>
          <w:p w14:paraId="6744382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1. Improvement occurred in 60% of the patients under monitored treatment (vs 52% with conventional treatment);14-day mortality was 16% vs 14%; and the in-hospital mortality was similar between groups (39% vs 36%).</w:t>
            </w:r>
            <w:r>
              <w:rPr>
                <w:rFonts w:hint="eastAsia" w:ascii="Times New Roman" w:hAnsi="宋体" w:eastAsia="宋体" w:cs="宋体"/>
                <w:i w:val="0"/>
                <w:iCs w:val="0"/>
                <w:color w:val="000000"/>
                <w:kern w:val="0"/>
                <w:sz w:val="18"/>
                <w:szCs w:val="18"/>
                <w:u w:val="none"/>
                <w:lang w:val="en-US" w:eastAsia="zh-CN" w:bidi="ar"/>
                <w14:ligatures w14:val="none"/>
              </w:rPr>
              <w:br w:type="textWrapping"/>
            </w:r>
            <w:r>
              <w:rPr>
                <w:rFonts w:hint="eastAsia" w:ascii="Times New Roman" w:hAnsi="宋体" w:eastAsia="宋体" w:cs="宋体"/>
                <w:i w:val="0"/>
                <w:iCs w:val="0"/>
                <w:color w:val="000000"/>
                <w:kern w:val="0"/>
                <w:sz w:val="18"/>
                <w:szCs w:val="18"/>
                <w:u w:val="none"/>
                <w:lang w:val="en-US" w:eastAsia="zh-CN" w:bidi="ar"/>
                <w14:ligatures w14:val="none"/>
              </w:rPr>
              <w:t>2. Therapeutic drug monitoring of antimicrobial treatment did not alter the prognosis of these burn patients. More trials are needed to support the use of therapeutic drug monitoring to optimize treatment in burn patients.</w:t>
            </w:r>
            <w:r>
              <w:rPr>
                <w:rFonts w:hint="eastAsia" w:ascii="Times New Roman" w:hAnsi="宋体" w:eastAsia="宋体" w:cs="宋体"/>
                <w:i w:val="0"/>
                <w:iCs w:val="0"/>
                <w:color w:val="000000"/>
                <w:kern w:val="0"/>
                <w:sz w:val="18"/>
                <w:szCs w:val="18"/>
                <w:u w:val="none"/>
                <w:lang w:val="en-US" w:eastAsia="zh-CN" w:bidi="ar"/>
                <w14:ligatures w14:val="none"/>
              </w:rPr>
              <w:br w:type="textWrapping"/>
            </w:r>
            <w:r>
              <w:rPr>
                <w:rFonts w:hint="eastAsia" w:ascii="Times New Roman" w:hAnsi="宋体" w:eastAsia="宋体" w:cs="宋体"/>
                <w:i w:val="0"/>
                <w:iCs w:val="0"/>
                <w:color w:val="000000"/>
                <w:kern w:val="0"/>
                <w:sz w:val="18"/>
                <w:szCs w:val="18"/>
                <w:u w:val="none"/>
                <w:lang w:val="en-US" w:eastAsia="zh-CN" w:bidi="ar"/>
                <w14:ligatures w14:val="none"/>
              </w:rPr>
              <w:t>3. Our study showed that the TDM of antimicrobial treatment, focused especially on dose adjustment to optimize PK/PD parameters, did not alter the prognosis of these burn patients. More trials are needed to support its use to optimize the treatment of burn patients.</w:t>
            </w:r>
          </w:p>
        </w:tc>
      </w:tr>
      <w:tr w14:paraId="2BC66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7" w:type="dxa"/>
            <w:tcBorders>
              <w:top w:val="nil"/>
              <w:left w:val="nil"/>
              <w:bottom w:val="nil"/>
              <w:right w:val="nil"/>
            </w:tcBorders>
            <w:shd w:val="clear" w:color="auto" w:fill="FFFFFF"/>
            <w:noWrap/>
            <w:vAlign w:val="center"/>
          </w:tcPr>
          <w:p w14:paraId="54CFFF4D">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Mitton 2021</w:t>
            </w:r>
          </w:p>
        </w:tc>
        <w:tc>
          <w:tcPr>
            <w:tcW w:w="1430" w:type="dxa"/>
            <w:tcBorders>
              <w:top w:val="nil"/>
              <w:left w:val="nil"/>
              <w:bottom w:val="nil"/>
              <w:right w:val="nil"/>
            </w:tcBorders>
            <w:shd w:val="clear" w:color="auto" w:fill="FFFFFF"/>
            <w:noWrap/>
            <w:vAlign w:val="center"/>
          </w:tcPr>
          <w:p w14:paraId="59EEDE0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Retrospective cohort study</w:t>
            </w:r>
          </w:p>
        </w:tc>
        <w:tc>
          <w:tcPr>
            <w:tcW w:w="1403" w:type="dxa"/>
            <w:tcBorders>
              <w:top w:val="nil"/>
              <w:left w:val="nil"/>
              <w:bottom w:val="nil"/>
              <w:right w:val="nil"/>
            </w:tcBorders>
            <w:shd w:val="clear" w:color="auto" w:fill="FFFFFF"/>
            <w:noWrap/>
            <w:vAlign w:val="center"/>
          </w:tcPr>
          <w:p w14:paraId="18228D5F">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South Africa (SA)</w:t>
            </w:r>
          </w:p>
        </w:tc>
        <w:tc>
          <w:tcPr>
            <w:tcW w:w="775" w:type="dxa"/>
            <w:tcBorders>
              <w:top w:val="nil"/>
              <w:left w:val="nil"/>
              <w:bottom w:val="nil"/>
              <w:right w:val="nil"/>
            </w:tcBorders>
            <w:shd w:val="clear" w:color="auto" w:fill="FFFFFF"/>
            <w:noWrap/>
            <w:vAlign w:val="center"/>
          </w:tcPr>
          <w:p w14:paraId="0C7BA607">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I: 53; C: 15</w:t>
            </w:r>
          </w:p>
        </w:tc>
        <w:tc>
          <w:tcPr>
            <w:tcW w:w="2010" w:type="dxa"/>
            <w:tcBorders>
              <w:top w:val="nil"/>
              <w:left w:val="nil"/>
              <w:bottom w:val="nil"/>
              <w:right w:val="nil"/>
            </w:tcBorders>
            <w:shd w:val="clear" w:color="auto" w:fill="FFFFFF"/>
            <w:noWrap/>
            <w:vAlign w:val="center"/>
          </w:tcPr>
          <w:p w14:paraId="23622882">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imipenem/cilastatin</w:t>
            </w:r>
          </w:p>
        </w:tc>
        <w:tc>
          <w:tcPr>
            <w:tcW w:w="4099" w:type="dxa"/>
            <w:tcBorders>
              <w:top w:val="nil"/>
              <w:left w:val="nil"/>
              <w:bottom w:val="nil"/>
              <w:right w:val="nil"/>
            </w:tcBorders>
            <w:shd w:val="clear" w:color="auto" w:fill="FFFFFF"/>
            <w:noWrap/>
            <w:vAlign w:val="center"/>
          </w:tcPr>
          <w:p w14:paraId="3B2FF7B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I: MIC: 3.6(mean)mg/L; C: MIC: 6.9 (mean)mg/L  Sub-therapeutic group (n=15)target value of 100% time &lt; MIC (ƒT &gt;MIC).</w:t>
            </w:r>
          </w:p>
        </w:tc>
        <w:tc>
          <w:tcPr>
            <w:tcW w:w="3662" w:type="dxa"/>
            <w:tcBorders>
              <w:top w:val="nil"/>
              <w:left w:val="nil"/>
              <w:bottom w:val="nil"/>
              <w:right w:val="nil"/>
            </w:tcBorders>
            <w:shd w:val="clear" w:color="auto" w:fill="FFFFFF"/>
            <w:vAlign w:val="center"/>
          </w:tcPr>
          <w:p w14:paraId="21B1C712">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1. ICU length of stay (days): I:15.7 days; C: 16.3 days</w:t>
            </w:r>
            <w:r>
              <w:rPr>
                <w:rFonts w:hint="eastAsia" w:ascii="Times New Roman" w:hAnsi="宋体" w:eastAsia="宋体" w:cs="宋体"/>
                <w:i w:val="0"/>
                <w:iCs w:val="0"/>
                <w:color w:val="000000"/>
                <w:kern w:val="0"/>
                <w:sz w:val="18"/>
                <w:szCs w:val="18"/>
                <w:u w:val="none"/>
                <w:lang w:val="en-US" w:eastAsia="zh-CN" w:bidi="ar"/>
                <w14:ligatures w14:val="none"/>
              </w:rPr>
              <w:br w:type="textWrapping"/>
            </w:r>
            <w:r>
              <w:rPr>
                <w:rFonts w:hint="eastAsia" w:ascii="Times New Roman" w:hAnsi="宋体" w:eastAsia="宋体" w:cs="宋体"/>
                <w:i w:val="0"/>
                <w:iCs w:val="0"/>
                <w:color w:val="000000"/>
                <w:kern w:val="0"/>
                <w:sz w:val="18"/>
                <w:szCs w:val="18"/>
                <w:u w:val="none"/>
                <w:lang w:val="en-US" w:eastAsia="zh-CN" w:bidi="ar"/>
                <w14:ligatures w14:val="none"/>
              </w:rPr>
              <w:t>2. Hospital length of stay (days): I: 41.5;C: 37.3.</w:t>
            </w:r>
            <w:r>
              <w:rPr>
                <w:rFonts w:hint="eastAsia" w:ascii="Times New Roman" w:hAnsi="宋体" w:eastAsia="宋体" w:cs="宋体"/>
                <w:i w:val="0"/>
                <w:iCs w:val="0"/>
                <w:color w:val="000000"/>
                <w:kern w:val="0"/>
                <w:sz w:val="18"/>
                <w:szCs w:val="18"/>
                <w:u w:val="none"/>
                <w:lang w:val="en-US" w:eastAsia="zh-CN" w:bidi="ar"/>
                <w14:ligatures w14:val="none"/>
              </w:rPr>
              <w:br w:type="textWrapping"/>
            </w:r>
            <w:r>
              <w:rPr>
                <w:rFonts w:hint="eastAsia" w:ascii="Times New Roman" w:hAnsi="宋体" w:eastAsia="宋体" w:cs="宋体"/>
                <w:i w:val="0"/>
                <w:iCs w:val="0"/>
                <w:color w:val="000000"/>
                <w:kern w:val="0"/>
                <w:sz w:val="18"/>
                <w:szCs w:val="18"/>
                <w:u w:val="none"/>
                <w:lang w:val="en-US" w:eastAsia="zh-CN" w:bidi="ar"/>
                <w14:ligatures w14:val="none"/>
              </w:rPr>
              <w:t>3. 14-day mortality: I: 18.9%; C:  33.3%.</w:t>
            </w:r>
            <w:r>
              <w:rPr>
                <w:rFonts w:hint="eastAsia" w:ascii="Times New Roman" w:hAnsi="宋体" w:eastAsia="宋体" w:cs="宋体"/>
                <w:i w:val="0"/>
                <w:iCs w:val="0"/>
                <w:color w:val="000000"/>
                <w:kern w:val="0"/>
                <w:sz w:val="18"/>
                <w:szCs w:val="18"/>
                <w:u w:val="none"/>
                <w:lang w:val="en-US" w:eastAsia="zh-CN" w:bidi="ar"/>
                <w14:ligatures w14:val="none"/>
              </w:rPr>
              <w:br w:type="textWrapping"/>
            </w:r>
            <w:r>
              <w:rPr>
                <w:rFonts w:hint="eastAsia" w:ascii="Times New Roman" w:hAnsi="宋体" w:eastAsia="宋体" w:cs="宋体"/>
                <w:i w:val="0"/>
                <w:iCs w:val="0"/>
                <w:color w:val="000000"/>
                <w:kern w:val="0"/>
                <w:sz w:val="18"/>
                <w:szCs w:val="18"/>
                <w:u w:val="none"/>
                <w:lang w:val="en-US" w:eastAsia="zh-CN" w:bidi="ar"/>
                <w14:ligatures w14:val="none"/>
              </w:rPr>
              <w:t>4. 28-day mortality: I: 26.4%; C: 40%.</w:t>
            </w:r>
          </w:p>
        </w:tc>
      </w:tr>
      <w:tr w14:paraId="6914D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7" w:type="dxa"/>
            <w:tcBorders>
              <w:top w:val="nil"/>
              <w:left w:val="nil"/>
              <w:bottom w:val="nil"/>
              <w:right w:val="nil"/>
            </w:tcBorders>
            <w:shd w:val="clear" w:color="auto" w:fill="FFFFFF"/>
            <w:noWrap/>
            <w:vAlign w:val="center"/>
          </w:tcPr>
          <w:p w14:paraId="15B3CF1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Delfino 2017</w:t>
            </w:r>
          </w:p>
        </w:tc>
        <w:tc>
          <w:tcPr>
            <w:tcW w:w="1430" w:type="dxa"/>
            <w:tcBorders>
              <w:top w:val="nil"/>
              <w:left w:val="nil"/>
              <w:bottom w:val="nil"/>
              <w:right w:val="nil"/>
            </w:tcBorders>
            <w:shd w:val="clear" w:color="auto" w:fill="FFFFFF"/>
            <w:noWrap/>
            <w:vAlign w:val="center"/>
          </w:tcPr>
          <w:p w14:paraId="1408BFA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Case series</w:t>
            </w:r>
          </w:p>
        </w:tc>
        <w:tc>
          <w:tcPr>
            <w:tcW w:w="1403" w:type="dxa"/>
            <w:tcBorders>
              <w:top w:val="nil"/>
              <w:left w:val="nil"/>
              <w:bottom w:val="nil"/>
              <w:right w:val="nil"/>
            </w:tcBorders>
            <w:shd w:val="clear" w:color="auto" w:fill="FFFFFF"/>
            <w:noWrap/>
            <w:vAlign w:val="center"/>
          </w:tcPr>
          <w:p w14:paraId="15CCA76D">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Italy</w:t>
            </w:r>
          </w:p>
        </w:tc>
        <w:tc>
          <w:tcPr>
            <w:tcW w:w="775" w:type="dxa"/>
            <w:tcBorders>
              <w:top w:val="nil"/>
              <w:left w:val="nil"/>
              <w:bottom w:val="nil"/>
              <w:right w:val="nil"/>
            </w:tcBorders>
            <w:shd w:val="clear" w:color="auto" w:fill="FFFFFF"/>
            <w:noWrap/>
            <w:vAlign w:val="center"/>
          </w:tcPr>
          <w:p w14:paraId="04901017">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6</w:t>
            </w:r>
          </w:p>
        </w:tc>
        <w:tc>
          <w:tcPr>
            <w:tcW w:w="2010" w:type="dxa"/>
            <w:tcBorders>
              <w:top w:val="nil"/>
              <w:left w:val="nil"/>
              <w:bottom w:val="nil"/>
              <w:right w:val="nil"/>
            </w:tcBorders>
            <w:shd w:val="clear" w:color="auto" w:fill="FFFFFF"/>
            <w:noWrap/>
            <w:vAlign w:val="center"/>
          </w:tcPr>
          <w:p w14:paraId="6E749A3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Patients 1, 3, and 6 treated with MEM monotherapy; patients 2, 4, and 5 received a 2-drug combination of MEM plus amikacin, MEM plus sulfamethoxazole/trimethoprim, and MEM plus tigecycline, respectively.</w:t>
            </w:r>
          </w:p>
        </w:tc>
        <w:tc>
          <w:tcPr>
            <w:tcW w:w="4099" w:type="dxa"/>
            <w:tcBorders>
              <w:top w:val="nil"/>
              <w:left w:val="nil"/>
              <w:bottom w:val="nil"/>
              <w:right w:val="nil"/>
            </w:tcBorders>
            <w:shd w:val="clear" w:color="auto" w:fill="FFFFFF"/>
            <w:noWrap/>
            <w:vAlign w:val="center"/>
          </w:tcPr>
          <w:p w14:paraId="2BA55375">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T&gt;MIC, time above MIC; PK/PD targets was measured in terms of T&gt;MIC, in view of the time-dependent antimicrobial activity of MEM: 40%-80%: 6(100%); 90%: 5 (83%)</w:t>
            </w:r>
          </w:p>
        </w:tc>
        <w:tc>
          <w:tcPr>
            <w:tcW w:w="3662" w:type="dxa"/>
            <w:tcBorders>
              <w:top w:val="nil"/>
              <w:left w:val="nil"/>
              <w:bottom w:val="nil"/>
              <w:right w:val="nil"/>
            </w:tcBorders>
            <w:shd w:val="clear" w:color="auto" w:fill="FFFFFF"/>
            <w:vAlign w:val="center"/>
          </w:tcPr>
          <w:p w14:paraId="28F85412">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eastAsia" w:ascii="Times New Roman" w:hAnsi="宋体" w:eastAsia="宋体" w:cs="宋体"/>
                <w:i w:val="0"/>
                <w:iCs w:val="0"/>
                <w:color w:val="000000"/>
                <w:sz w:val="18"/>
                <w:szCs w:val="18"/>
                <w:u w:val="none"/>
              </w:rPr>
            </w:pPr>
            <w:r>
              <w:rPr>
                <w:rFonts w:hint="eastAsia" w:ascii="Times New Roman" w:hAnsi="宋体" w:eastAsia="宋体" w:cs="宋体"/>
                <w:i w:val="0"/>
                <w:iCs w:val="0"/>
                <w:color w:val="000000"/>
                <w:kern w:val="0"/>
                <w:sz w:val="18"/>
                <w:szCs w:val="18"/>
                <w:u w:val="none"/>
                <w:lang w:val="en-US" w:eastAsia="zh-CN" w:bidi="ar"/>
                <w14:ligatures w14:val="none"/>
              </w:rPr>
              <w:t>1. Pulmonary exacerba (FEV-1): 0.</w:t>
            </w:r>
            <w:r>
              <w:rPr>
                <w:rFonts w:hint="eastAsia" w:ascii="Times New Roman" w:hAnsi="宋体" w:eastAsia="宋体" w:cs="宋体"/>
                <w:i w:val="0"/>
                <w:iCs w:val="0"/>
                <w:color w:val="000000"/>
                <w:kern w:val="0"/>
                <w:sz w:val="18"/>
                <w:szCs w:val="18"/>
                <w:u w:val="none"/>
                <w:lang w:val="en-US" w:eastAsia="zh-CN" w:bidi="ar"/>
                <w14:ligatures w14:val="none"/>
              </w:rPr>
              <w:br w:type="textWrapping"/>
            </w:r>
            <w:r>
              <w:rPr>
                <w:rFonts w:hint="eastAsia" w:ascii="Times New Roman" w:hAnsi="宋体" w:eastAsia="宋体" w:cs="宋体"/>
                <w:i w:val="0"/>
                <w:iCs w:val="0"/>
                <w:color w:val="000000"/>
                <w:kern w:val="0"/>
                <w:sz w:val="18"/>
                <w:szCs w:val="18"/>
                <w:u w:val="none"/>
                <w:lang w:val="en-US" w:eastAsia="zh-CN" w:bidi="ar"/>
                <w14:ligatures w14:val="none"/>
              </w:rPr>
              <w:t>2. All patients recovered their previous forced expiratory volume in 1 s (FEV-1) in good health in the subsequent inter-exacerba</w:t>
            </w:r>
            <w:r>
              <w:rPr>
                <w:rFonts w:ascii="Times New Roman" w:hAnsi="Arial" w:eastAsia="宋体" w:cs="Arial"/>
                <w:i w:val="0"/>
                <w:iCs w:val="0"/>
                <w:color w:val="000000"/>
                <w:kern w:val="0"/>
                <w:sz w:val="18"/>
                <w:szCs w:val="18"/>
                <w:u w:val="none"/>
                <w:lang w:val="en-US" w:eastAsia="zh-CN" w:bidi="ar"/>
                <w14:ligatures w14:val="none"/>
              </w:rPr>
              <w:t xml:space="preserve"> </w:t>
            </w:r>
            <w:r>
              <w:rPr>
                <w:rFonts w:hint="eastAsia" w:ascii="Times New Roman" w:hAnsi="宋体" w:eastAsia="宋体" w:cs="宋体"/>
                <w:i w:val="0"/>
                <w:iCs w:val="0"/>
                <w:color w:val="000000"/>
                <w:kern w:val="0"/>
                <w:sz w:val="18"/>
                <w:szCs w:val="18"/>
                <w:u w:val="none"/>
                <w:lang w:val="en-US" w:eastAsia="zh-CN" w:bidi="ar"/>
                <w14:ligatures w14:val="none"/>
              </w:rPr>
              <w:t>tion period. In all patients, MEM was well tolerated, and no adverse events were reported.</w:t>
            </w:r>
          </w:p>
        </w:tc>
      </w:tr>
      <w:tr w14:paraId="2D84E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87" w:type="dxa"/>
            <w:tcBorders>
              <w:top w:val="nil"/>
              <w:left w:val="nil"/>
              <w:bottom w:val="single" w:color="000000" w:sz="12" w:space="0"/>
              <w:right w:val="nil"/>
            </w:tcBorders>
            <w:shd w:val="clear" w:color="auto" w:fill="FFFFFF"/>
            <w:noWrap/>
            <w:vAlign w:val="center"/>
          </w:tcPr>
          <w:p w14:paraId="53749B3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Michelon 2019</w:t>
            </w:r>
          </w:p>
        </w:tc>
        <w:tc>
          <w:tcPr>
            <w:tcW w:w="1430" w:type="dxa"/>
            <w:tcBorders>
              <w:top w:val="nil"/>
              <w:left w:val="nil"/>
              <w:bottom w:val="single" w:color="000000" w:sz="12" w:space="0"/>
              <w:right w:val="nil"/>
            </w:tcBorders>
            <w:shd w:val="clear" w:color="auto" w:fill="FFFFFF"/>
            <w:noWrap/>
            <w:vAlign w:val="center"/>
          </w:tcPr>
          <w:p w14:paraId="3251F256">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Case report</w:t>
            </w:r>
          </w:p>
        </w:tc>
        <w:tc>
          <w:tcPr>
            <w:tcW w:w="1403" w:type="dxa"/>
            <w:tcBorders>
              <w:top w:val="nil"/>
              <w:left w:val="nil"/>
              <w:bottom w:val="single" w:color="000000" w:sz="12" w:space="0"/>
              <w:right w:val="nil"/>
            </w:tcBorders>
            <w:shd w:val="clear" w:color="auto" w:fill="FFFFFF"/>
            <w:vAlign w:val="center"/>
          </w:tcPr>
          <w:p w14:paraId="0AA9451D">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France</w:t>
            </w:r>
          </w:p>
        </w:tc>
        <w:tc>
          <w:tcPr>
            <w:tcW w:w="775" w:type="dxa"/>
            <w:tcBorders>
              <w:top w:val="nil"/>
              <w:left w:val="nil"/>
              <w:bottom w:val="single" w:color="000000" w:sz="12" w:space="0"/>
              <w:right w:val="nil"/>
            </w:tcBorders>
            <w:shd w:val="clear" w:color="auto" w:fill="FFFFFF"/>
            <w:noWrap/>
            <w:vAlign w:val="center"/>
          </w:tcPr>
          <w:p w14:paraId="68DAB7EB">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w:t>
            </w:r>
          </w:p>
        </w:tc>
        <w:tc>
          <w:tcPr>
            <w:tcW w:w="2010" w:type="dxa"/>
            <w:tcBorders>
              <w:top w:val="nil"/>
              <w:left w:val="nil"/>
              <w:bottom w:val="single" w:color="000000" w:sz="12" w:space="0"/>
              <w:right w:val="nil"/>
            </w:tcBorders>
            <w:shd w:val="clear" w:color="auto" w:fill="FFFFFF"/>
            <w:noWrap/>
            <w:vAlign w:val="center"/>
          </w:tcPr>
          <w:p w14:paraId="73ACEC1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Ceftazidime</w:t>
            </w:r>
          </w:p>
        </w:tc>
        <w:tc>
          <w:tcPr>
            <w:tcW w:w="4099" w:type="dxa"/>
            <w:tcBorders>
              <w:top w:val="nil"/>
              <w:left w:val="nil"/>
              <w:bottom w:val="single" w:color="000000" w:sz="12" w:space="0"/>
              <w:right w:val="nil"/>
            </w:tcBorders>
            <w:shd w:val="clear" w:color="auto" w:fill="FFFFFF"/>
            <w:noWrap/>
            <w:vAlign w:val="center"/>
          </w:tcPr>
          <w:p w14:paraId="36CEBDC6">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NR</w:t>
            </w:r>
          </w:p>
        </w:tc>
        <w:tc>
          <w:tcPr>
            <w:tcW w:w="3662" w:type="dxa"/>
            <w:tcBorders>
              <w:top w:val="nil"/>
              <w:left w:val="nil"/>
              <w:bottom w:val="single" w:color="000000" w:sz="12" w:space="0"/>
              <w:right w:val="nil"/>
            </w:tcBorders>
            <w:shd w:val="clear" w:color="auto" w:fill="FFFFFF"/>
            <w:vAlign w:val="center"/>
          </w:tcPr>
          <w:p w14:paraId="17A5B50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1. Three days after the initiation of ceftazidime, inflammatory syndrome decreased pro gressively (leukocytes at 7.5 G/L; neutrophils at 4.6 G/L) with a slow decrease in the CRP plasma level (84 mg/L) and apyrexia.</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2.  Ceftazidime plasma concentration of 31.1 mg/L corresponding to therapeutic threshold level required to inhibit 90% of susceptible P. aeruginosa (threshold level defined at 40 mg/L for inhibition of 100%).</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3. Conclusion: To our knowledge, this is the first case reporting a suc cessful therapy using sc ceftazidime and combining clinical and pharmacokinetic data. Our findings need to be confirmed by larger case series</w:t>
            </w:r>
          </w:p>
        </w:tc>
      </w:tr>
      <w:tr w14:paraId="54707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466" w:type="dxa"/>
            <w:gridSpan w:val="7"/>
            <w:tcBorders>
              <w:top w:val="nil"/>
              <w:left w:val="nil"/>
              <w:bottom w:val="nil"/>
              <w:right w:val="nil"/>
            </w:tcBorders>
            <w:shd w:val="clear" w:color="auto" w:fill="FFFFFF"/>
            <w:vAlign w:val="center"/>
          </w:tcPr>
          <w:p w14:paraId="2C88E080">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intervention group; C: cpmparion group; NR: note reported.</w:t>
            </w:r>
            <w:r>
              <w:rPr>
                <w:rFonts w:hint="default" w:ascii="Times New Roman" w:hAnsi="Times New Roman" w:cs="Times New Roman"/>
                <w:i w:val="0"/>
                <w:iCs w:val="0"/>
                <w:color w:val="000000"/>
                <w:kern w:val="0"/>
                <w:sz w:val="18"/>
                <w:szCs w:val="18"/>
                <w:u w:val="none"/>
                <w:lang w:val="en-US" w:eastAsia="zh-CN" w:bidi="ar"/>
                <w14:ligatures w14:val="none"/>
              </w:rPr>
              <w:t xml:space="preserve"> </w:t>
            </w:r>
            <w:r>
              <w:rPr>
                <w:rFonts w:hint="default" w:ascii="Times New Roman" w:hAnsi="Times New Roman" w:eastAsia="宋体" w:cs="Times New Roman"/>
                <w:i w:val="0"/>
                <w:iCs w:val="0"/>
                <w:color w:val="000000"/>
                <w:kern w:val="0"/>
                <w:sz w:val="18"/>
                <w:szCs w:val="18"/>
                <w:u w:val="none"/>
                <w:lang w:val="en-US" w:eastAsia="zh-CN" w:bidi="ar"/>
                <w14:ligatures w14:val="none"/>
              </w:rPr>
              <w:t>Note: Clinical resolution: defined as the resolution of clinical signs and symptoms of infection upon completion of active treatment.Microbiological eradication: the absence of the original pathogens from the blood or bronchoalveolar lavage(BAL) culture of the speci mens in at least two subsequent assessments.</w:t>
            </w:r>
            <w:r>
              <w:rPr>
                <w:rFonts w:hint="default" w:ascii="Times New Roman" w:hAnsi="Times New Roman" w:cs="Times New Roman"/>
                <w:i w:val="0"/>
                <w:iCs w:val="0"/>
                <w:color w:val="000000"/>
                <w:kern w:val="0"/>
                <w:sz w:val="18"/>
                <w:szCs w:val="18"/>
                <w:u w:val="none"/>
                <w:lang w:val="en-US" w:eastAsia="zh-CN" w:bidi="ar"/>
                <w14:ligatures w14:val="none"/>
              </w:rPr>
              <w:t xml:space="preserve"> </w:t>
            </w:r>
            <w:r>
              <w:rPr>
                <w:rFonts w:hint="default" w:ascii="Times New Roman" w:hAnsi="Times New Roman" w:eastAsia="宋体" w:cs="Times New Roman"/>
                <w:i w:val="0"/>
                <w:iCs w:val="0"/>
                <w:color w:val="000000"/>
                <w:kern w:val="0"/>
                <w:sz w:val="18"/>
                <w:szCs w:val="18"/>
                <w:u w:val="none"/>
                <w:lang w:val="en-US" w:eastAsia="zh-CN" w:bidi="ar"/>
                <w14:ligatures w14:val="none"/>
              </w:rPr>
              <w:t>Clinical cure: complete resolution or significant improvement occurred, meaning that no surgical drainage nor change of antibiotic therapy was deemed necessary.</w:t>
            </w:r>
            <w:r>
              <w:rPr>
                <w:rFonts w:hint="default" w:ascii="Times New Roman" w:hAnsi="Times New Roman" w:cs="Times New Roman"/>
                <w:i w:val="0"/>
                <w:iCs w:val="0"/>
                <w:color w:val="000000"/>
                <w:kern w:val="0"/>
                <w:sz w:val="18"/>
                <w:szCs w:val="18"/>
                <w:u w:val="none"/>
                <w:lang w:val="en-US" w:eastAsia="zh-CN" w:bidi="ar"/>
                <w14:ligatures w14:val="none"/>
              </w:rPr>
              <w:t xml:space="preserve"> </w:t>
            </w:r>
            <w:r>
              <w:rPr>
                <w:rFonts w:hint="default" w:ascii="Times New Roman" w:hAnsi="Times New Roman" w:eastAsia="宋体" w:cs="Times New Roman"/>
                <w:i w:val="0"/>
                <w:iCs w:val="0"/>
                <w:color w:val="000000"/>
                <w:kern w:val="0"/>
                <w:sz w:val="18"/>
                <w:szCs w:val="18"/>
                <w:u w:val="none"/>
                <w:lang w:val="en-US" w:eastAsia="zh-CN" w:bidi="ar"/>
                <w14:ligatures w14:val="none"/>
              </w:rPr>
              <w:t>Favorable clinical response: was defined as the significant resolution of signs and symptoms of the infection by the end of therapy, improvement or no worsening in procalcitonin (PCT), PaO2/FiO2 ratio (PFR), and bed side chest X-ray.</w:t>
            </w:r>
          </w:p>
        </w:tc>
      </w:tr>
    </w:tbl>
    <w:p w14:paraId="3EB0E2BA">
      <w:pPr>
        <w:bidi w:val="0"/>
        <w:sectPr>
          <w:headerReference r:id="rId7" w:type="first"/>
          <w:footerReference r:id="rId10" w:type="first"/>
          <w:headerReference r:id="rId5" w:type="default"/>
          <w:footerReference r:id="rId8" w:type="default"/>
          <w:headerReference r:id="rId6" w:type="even"/>
          <w:footerReference r:id="rId9" w:type="even"/>
          <w:pgSz w:w="16838" w:h="11906" w:orient="landscape"/>
          <w:pgMar w:top="1797" w:right="1440" w:bottom="1797" w:left="1440" w:header="851" w:footer="992" w:gutter="0"/>
          <w:pgBorders>
            <w:top w:val="none" w:sz="0" w:space="0"/>
            <w:left w:val="none" w:sz="0" w:space="0"/>
            <w:bottom w:val="none" w:sz="0" w:space="0"/>
            <w:right w:val="none" w:sz="0" w:space="0"/>
          </w:pgBorders>
          <w:cols w:space="425" w:num="1"/>
          <w:docGrid w:type="lines" w:linePitch="312" w:charSpace="0"/>
        </w:sectPr>
      </w:pPr>
    </w:p>
    <w:p w14:paraId="5C45CF85">
      <w:pPr>
        <w:pStyle w:val="39"/>
        <w:rPr>
          <w:rFonts w:hint="eastAsia"/>
        </w:rPr>
      </w:pPr>
      <w:r>
        <w:rPr>
          <w:rFonts w:hint="eastAsia"/>
        </w:rPr>
        <w:t>附表5.临床问题</w:t>
      </w:r>
      <w:r>
        <w:rPr>
          <w:rFonts w:hint="eastAsia"/>
          <w:lang w:val="en-US" w:eastAsia="zh-CN"/>
        </w:rPr>
        <w:t>5</w:t>
      </w:r>
      <w:r>
        <w:rPr>
          <w:rFonts w:hint="eastAsia"/>
        </w:rPr>
        <w:t>纳入文献基线特征表</w:t>
      </w:r>
    </w:p>
    <w:tbl>
      <w:tblPr>
        <w:tblStyle w:val="15"/>
        <w:tblW w:w="147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0"/>
        <w:gridCol w:w="810"/>
        <w:gridCol w:w="1083"/>
        <w:gridCol w:w="1124"/>
        <w:gridCol w:w="1008"/>
        <w:gridCol w:w="1825"/>
        <w:gridCol w:w="1335"/>
        <w:gridCol w:w="1157"/>
        <w:gridCol w:w="2430"/>
        <w:gridCol w:w="1157"/>
        <w:gridCol w:w="2038"/>
      </w:tblGrid>
      <w:tr w14:paraId="5245B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0" w:type="dxa"/>
            <w:tcBorders>
              <w:top w:val="single" w:color="000000" w:sz="12" w:space="0"/>
              <w:left w:val="nil"/>
              <w:bottom w:val="single" w:color="000000" w:sz="8" w:space="0"/>
              <w:right w:val="nil"/>
            </w:tcBorders>
            <w:shd w:val="clear" w:color="auto" w:fill="FFFFFF"/>
            <w:vAlign w:val="center"/>
          </w:tcPr>
          <w:p w14:paraId="16F8D94C">
            <w:pPr>
              <w:keepNext w:val="0"/>
              <w:keepLines w:val="0"/>
              <w:widowControl/>
              <w:suppressLineNumbers w:val="0"/>
              <w:snapToGrid w:val="0"/>
              <w:spacing w:before="0" w:beforeLines="0" w:after="0" w:afterLines="0"/>
              <w:jc w:val="left"/>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Study ID</w:t>
            </w:r>
          </w:p>
        </w:tc>
        <w:tc>
          <w:tcPr>
            <w:tcW w:w="810" w:type="dxa"/>
            <w:tcBorders>
              <w:top w:val="single" w:color="000000" w:sz="12" w:space="0"/>
              <w:left w:val="nil"/>
              <w:bottom w:val="single" w:color="000000" w:sz="8" w:space="0"/>
              <w:right w:val="nil"/>
            </w:tcBorders>
            <w:shd w:val="clear" w:color="auto" w:fill="FFFFFF"/>
            <w:vAlign w:val="center"/>
          </w:tcPr>
          <w:p w14:paraId="2894B938">
            <w:pPr>
              <w:keepNext w:val="0"/>
              <w:keepLines w:val="0"/>
              <w:widowControl/>
              <w:suppressLineNumbers w:val="0"/>
              <w:snapToGrid w:val="0"/>
              <w:spacing w:before="0" w:beforeLines="0" w:after="0" w:afterLines="0"/>
              <w:jc w:val="left"/>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Study Design</w:t>
            </w:r>
          </w:p>
        </w:tc>
        <w:tc>
          <w:tcPr>
            <w:tcW w:w="1083" w:type="dxa"/>
            <w:tcBorders>
              <w:top w:val="single" w:color="000000" w:sz="12" w:space="0"/>
              <w:left w:val="nil"/>
              <w:bottom w:val="single" w:color="000000" w:sz="8" w:space="0"/>
              <w:right w:val="nil"/>
            </w:tcBorders>
            <w:shd w:val="clear" w:color="auto" w:fill="FFFFFF"/>
            <w:vAlign w:val="center"/>
          </w:tcPr>
          <w:p w14:paraId="6DFE973D">
            <w:pPr>
              <w:keepNext w:val="0"/>
              <w:keepLines w:val="0"/>
              <w:widowControl/>
              <w:suppressLineNumbers w:val="0"/>
              <w:spacing w:before="0" w:beforeLines="0" w:after="0" w:afterLine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14:ligatures w14:val="none"/>
              </w:rPr>
              <w:t>Sample Size</w:t>
            </w:r>
          </w:p>
        </w:tc>
        <w:tc>
          <w:tcPr>
            <w:tcW w:w="1124" w:type="dxa"/>
            <w:tcBorders>
              <w:top w:val="single" w:color="000000" w:sz="12" w:space="0"/>
              <w:left w:val="nil"/>
              <w:bottom w:val="single" w:color="000000" w:sz="8" w:space="0"/>
              <w:right w:val="nil"/>
            </w:tcBorders>
            <w:shd w:val="clear" w:color="auto" w:fill="FFFFFF"/>
            <w:vAlign w:val="center"/>
          </w:tcPr>
          <w:p w14:paraId="49EA77C3">
            <w:pPr>
              <w:keepNext w:val="0"/>
              <w:keepLines w:val="0"/>
              <w:widowControl/>
              <w:suppressLineNumbers w:val="0"/>
              <w:spacing w:before="0" w:beforeLines="0" w:after="0" w:afterLine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14:ligatures w14:val="none"/>
              </w:rPr>
              <w:t>Country</w:t>
            </w:r>
          </w:p>
        </w:tc>
        <w:tc>
          <w:tcPr>
            <w:tcW w:w="1008" w:type="dxa"/>
            <w:tcBorders>
              <w:top w:val="single" w:color="000000" w:sz="12" w:space="0"/>
              <w:left w:val="nil"/>
              <w:bottom w:val="single" w:color="000000" w:sz="8" w:space="0"/>
              <w:right w:val="nil"/>
            </w:tcBorders>
            <w:shd w:val="clear" w:color="auto" w:fill="FFFFFF"/>
            <w:vAlign w:val="center"/>
          </w:tcPr>
          <w:p w14:paraId="3DCC8169">
            <w:pPr>
              <w:keepNext w:val="0"/>
              <w:keepLines w:val="0"/>
              <w:widowControl/>
              <w:suppressLineNumbers w:val="0"/>
              <w:snapToGrid w:val="0"/>
              <w:spacing w:before="0" w:beforeLines="0" w:after="0" w:afterLines="0"/>
              <w:jc w:val="left"/>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Age/mean(SD) year</w:t>
            </w:r>
          </w:p>
        </w:tc>
        <w:tc>
          <w:tcPr>
            <w:tcW w:w="1825" w:type="dxa"/>
            <w:tcBorders>
              <w:top w:val="single" w:color="000000" w:sz="12" w:space="0"/>
              <w:left w:val="nil"/>
              <w:bottom w:val="single" w:color="000000" w:sz="8" w:space="0"/>
              <w:right w:val="nil"/>
            </w:tcBorders>
            <w:shd w:val="clear" w:color="auto" w:fill="FFFFFF"/>
            <w:vAlign w:val="center"/>
          </w:tcPr>
          <w:p w14:paraId="48072700">
            <w:pPr>
              <w:keepNext w:val="0"/>
              <w:keepLines w:val="0"/>
              <w:widowControl/>
              <w:suppressLineNumbers w:val="0"/>
              <w:snapToGrid w:val="0"/>
              <w:spacing w:before="0" w:beforeLines="0" w:after="0" w:afterLines="0"/>
              <w:jc w:val="left"/>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sz w:val="18"/>
                <w:szCs w:val="18"/>
                <w:u w:val="none"/>
              </w:rPr>
              <w:t>Pathogenic Bacteria</w:t>
            </w:r>
          </w:p>
        </w:tc>
        <w:tc>
          <w:tcPr>
            <w:tcW w:w="1335" w:type="dxa"/>
            <w:tcBorders>
              <w:top w:val="single" w:color="000000" w:sz="12" w:space="0"/>
              <w:left w:val="nil"/>
              <w:bottom w:val="single" w:color="000000" w:sz="8" w:space="0"/>
              <w:right w:val="nil"/>
            </w:tcBorders>
            <w:shd w:val="clear" w:color="auto" w:fill="FFFFFF"/>
            <w:vAlign w:val="center"/>
          </w:tcPr>
          <w:p w14:paraId="768869C2">
            <w:pPr>
              <w:keepNext w:val="0"/>
              <w:keepLines w:val="0"/>
              <w:widowControl/>
              <w:suppressLineNumbers w:val="0"/>
              <w:snapToGrid w:val="0"/>
              <w:spacing w:before="0" w:beforeLines="0" w:after="0" w:afterLines="0"/>
              <w:jc w:val="left"/>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sz w:val="18"/>
                <w:szCs w:val="18"/>
                <w:u w:val="none"/>
              </w:rPr>
              <w:t>Infected Site</w:t>
            </w:r>
          </w:p>
        </w:tc>
        <w:tc>
          <w:tcPr>
            <w:tcW w:w="1157" w:type="dxa"/>
            <w:tcBorders>
              <w:top w:val="single" w:color="000000" w:sz="12" w:space="0"/>
              <w:left w:val="nil"/>
              <w:bottom w:val="single" w:color="000000" w:sz="8" w:space="0"/>
              <w:right w:val="nil"/>
            </w:tcBorders>
            <w:shd w:val="clear" w:color="auto" w:fill="FFFFFF"/>
            <w:vAlign w:val="center"/>
          </w:tcPr>
          <w:p w14:paraId="779F6B42">
            <w:pPr>
              <w:keepNext w:val="0"/>
              <w:keepLines w:val="0"/>
              <w:widowControl/>
              <w:suppressLineNumbers w:val="0"/>
              <w:snapToGrid w:val="0"/>
              <w:spacing w:before="0" w:beforeLines="0" w:after="0" w:afterLines="0"/>
              <w:jc w:val="left"/>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宋体" w:cs="Times New Roman"/>
                <w:b/>
                <w:bCs w:val="0"/>
                <w:i w:val="0"/>
                <w:iCs w:val="0"/>
                <w:color w:val="000000"/>
                <w:kern w:val="0"/>
                <w:sz w:val="18"/>
                <w:szCs w:val="18"/>
                <w:u w:val="none"/>
                <w:lang w:val="en-US" w:eastAsia="zh-CN" w:bidi="ar"/>
                <w14:ligatures w14:val="none"/>
              </w:rPr>
              <w:t>Intervention</w:t>
            </w:r>
          </w:p>
        </w:tc>
        <w:tc>
          <w:tcPr>
            <w:tcW w:w="2430" w:type="dxa"/>
            <w:tcBorders>
              <w:top w:val="single" w:color="000000" w:sz="12" w:space="0"/>
              <w:left w:val="nil"/>
              <w:bottom w:val="single" w:color="000000" w:sz="8" w:space="0"/>
              <w:right w:val="nil"/>
            </w:tcBorders>
            <w:shd w:val="clear" w:color="auto" w:fill="FFFFFF"/>
            <w:vAlign w:val="center"/>
          </w:tcPr>
          <w:p w14:paraId="064C966E">
            <w:pPr>
              <w:keepNext w:val="0"/>
              <w:keepLines w:val="0"/>
              <w:widowControl/>
              <w:suppressLineNumbers w:val="0"/>
              <w:snapToGrid w:val="0"/>
              <w:spacing w:before="0" w:beforeLines="0" w:after="0" w:afterLines="0"/>
              <w:jc w:val="left"/>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Intervention: Dosage, Frequency, Duration</w:t>
            </w:r>
          </w:p>
        </w:tc>
        <w:tc>
          <w:tcPr>
            <w:tcW w:w="1157" w:type="dxa"/>
            <w:tcBorders>
              <w:top w:val="single" w:color="000000" w:sz="12" w:space="0"/>
              <w:left w:val="nil"/>
              <w:bottom w:val="single" w:color="000000" w:sz="8" w:space="0"/>
              <w:right w:val="nil"/>
            </w:tcBorders>
            <w:shd w:val="clear" w:color="auto" w:fill="FFFFFF"/>
            <w:vAlign w:val="center"/>
          </w:tcPr>
          <w:p w14:paraId="2EF710A6">
            <w:pPr>
              <w:keepNext w:val="0"/>
              <w:keepLines w:val="0"/>
              <w:widowControl/>
              <w:suppressLineNumbers w:val="0"/>
              <w:snapToGrid w:val="0"/>
              <w:spacing w:before="0" w:beforeLines="0" w:after="0" w:afterLines="0"/>
              <w:jc w:val="left"/>
              <w:textAlignment w:val="center"/>
              <w:rPr>
                <w:rFonts w:hint="default" w:ascii="Times New Roman" w:hAnsi="Times New Roman" w:eastAsia="微软雅黑" w:cs="Times New Roman"/>
                <w:b/>
                <w:bCs/>
                <w:i w:val="0"/>
                <w:iCs w:val="0"/>
                <w:color w:val="000000"/>
                <w:sz w:val="18"/>
                <w:szCs w:val="18"/>
                <w:u w:val="none"/>
              </w:rPr>
            </w:pPr>
            <w:r>
              <w:rPr>
                <w:rStyle w:val="18"/>
                <w:rFonts w:hint="default" w:ascii="Times New Roman" w:hAnsi="Times New Roman" w:eastAsia="Segoe UI" w:cs="Times New Roman"/>
                <w:b/>
                <w:bCs/>
                <w:i w:val="0"/>
                <w:iCs w:val="0"/>
                <w:caps w:val="0"/>
                <w:color w:val="0F1115"/>
                <w:spacing w:val="0"/>
                <w:sz w:val="18"/>
                <w:szCs w:val="18"/>
                <w:shd w:val="clear" w:fill="FFFFFF"/>
              </w:rPr>
              <w:t>Comparator</w:t>
            </w:r>
          </w:p>
        </w:tc>
        <w:tc>
          <w:tcPr>
            <w:tcW w:w="2038" w:type="dxa"/>
            <w:tcBorders>
              <w:top w:val="single" w:color="000000" w:sz="12" w:space="0"/>
              <w:left w:val="nil"/>
              <w:bottom w:val="single" w:color="000000" w:sz="8" w:space="0"/>
              <w:right w:val="nil"/>
            </w:tcBorders>
            <w:shd w:val="clear" w:color="auto" w:fill="FFFFFF"/>
            <w:vAlign w:val="center"/>
          </w:tcPr>
          <w:p w14:paraId="546D1E6F">
            <w:pPr>
              <w:keepNext w:val="0"/>
              <w:keepLines w:val="0"/>
              <w:widowControl/>
              <w:suppressLineNumbers w:val="0"/>
              <w:snapToGrid w:val="0"/>
              <w:spacing w:before="0" w:beforeLines="0" w:after="0" w:afterLines="0"/>
              <w:jc w:val="left"/>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Intervention: Dosage, Frequency, Duration</w:t>
            </w:r>
          </w:p>
        </w:tc>
      </w:tr>
      <w:tr w14:paraId="41AEB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0" w:type="dxa"/>
            <w:tcBorders>
              <w:top w:val="nil"/>
              <w:left w:val="nil"/>
              <w:bottom w:val="nil"/>
              <w:right w:val="nil"/>
            </w:tcBorders>
            <w:shd w:val="clear" w:color="auto" w:fill="FFFFFF"/>
            <w:vAlign w:val="center"/>
          </w:tcPr>
          <w:p w14:paraId="6D90F94E">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Pual 2018</w:t>
            </w:r>
          </w:p>
        </w:tc>
        <w:tc>
          <w:tcPr>
            <w:tcW w:w="810" w:type="dxa"/>
            <w:tcBorders>
              <w:top w:val="nil"/>
              <w:left w:val="nil"/>
              <w:bottom w:val="nil"/>
              <w:right w:val="nil"/>
            </w:tcBorders>
            <w:shd w:val="clear" w:color="auto" w:fill="FFFFFF"/>
            <w:vAlign w:val="center"/>
          </w:tcPr>
          <w:p w14:paraId="2D0C0861">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RCT</w:t>
            </w:r>
          </w:p>
        </w:tc>
        <w:tc>
          <w:tcPr>
            <w:tcW w:w="1083" w:type="dxa"/>
            <w:tcBorders>
              <w:top w:val="nil"/>
              <w:left w:val="nil"/>
              <w:bottom w:val="nil"/>
              <w:right w:val="nil"/>
            </w:tcBorders>
            <w:shd w:val="clear" w:color="auto" w:fill="FFFFFF"/>
            <w:vAlign w:val="center"/>
          </w:tcPr>
          <w:p w14:paraId="46C4BBA4">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Israel, Greece, Italy</w:t>
            </w:r>
          </w:p>
        </w:tc>
        <w:tc>
          <w:tcPr>
            <w:tcW w:w="1124" w:type="dxa"/>
            <w:tcBorders>
              <w:top w:val="nil"/>
              <w:left w:val="nil"/>
              <w:bottom w:val="nil"/>
              <w:right w:val="nil"/>
            </w:tcBorders>
            <w:shd w:val="clear" w:color="auto" w:fill="FFFFFF"/>
            <w:vAlign w:val="center"/>
          </w:tcPr>
          <w:p w14:paraId="1DD71E33">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208; C: 198</w:t>
            </w:r>
          </w:p>
        </w:tc>
        <w:tc>
          <w:tcPr>
            <w:tcW w:w="1008" w:type="dxa"/>
            <w:tcBorders>
              <w:top w:val="nil"/>
              <w:left w:val="nil"/>
              <w:bottom w:val="nil"/>
              <w:right w:val="nil"/>
            </w:tcBorders>
            <w:shd w:val="clear" w:color="auto" w:fill="FFFFFF"/>
            <w:vAlign w:val="center"/>
          </w:tcPr>
          <w:p w14:paraId="11D938CF">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66 (18); C: 66 (16)</w:t>
            </w:r>
          </w:p>
        </w:tc>
        <w:tc>
          <w:tcPr>
            <w:tcW w:w="1825" w:type="dxa"/>
            <w:tcBorders>
              <w:top w:val="nil"/>
              <w:left w:val="nil"/>
              <w:bottom w:val="nil"/>
              <w:right w:val="nil"/>
            </w:tcBorders>
            <w:shd w:val="clear" w:color="auto" w:fill="FFFFFF"/>
            <w:vAlign w:val="center"/>
          </w:tcPr>
          <w:p w14:paraId="1812D7DB">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CR-GNB: Acinetobacter baumannii: n=161/151; Enterobacteriacaeae: n=39/34; Pseudomonas/other: n=8/13</w:t>
            </w:r>
          </w:p>
        </w:tc>
        <w:tc>
          <w:tcPr>
            <w:tcW w:w="1335" w:type="dxa"/>
            <w:tcBorders>
              <w:top w:val="nil"/>
              <w:left w:val="nil"/>
              <w:bottom w:val="nil"/>
              <w:right w:val="nil"/>
            </w:tcBorders>
            <w:shd w:val="clear" w:color="auto" w:fill="FFFFFF"/>
            <w:vAlign w:val="center"/>
          </w:tcPr>
          <w:p w14:paraId="16CE764F">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Bacteraemia: n=97/76; VAP or HAP: n=85/97; Probable VAP: n=14/11; Urinary tract infection: n=12/14</w:t>
            </w:r>
          </w:p>
        </w:tc>
        <w:tc>
          <w:tcPr>
            <w:tcW w:w="1157" w:type="dxa"/>
            <w:tcBorders>
              <w:top w:val="nil"/>
              <w:left w:val="nil"/>
              <w:bottom w:val="nil"/>
              <w:right w:val="nil"/>
            </w:tcBorders>
            <w:shd w:val="clear" w:color="auto" w:fill="FFFFFF"/>
            <w:vAlign w:val="center"/>
          </w:tcPr>
          <w:p w14:paraId="41A83AEC">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Colistin combined meropenem</w:t>
            </w:r>
          </w:p>
        </w:tc>
        <w:tc>
          <w:tcPr>
            <w:tcW w:w="2430" w:type="dxa"/>
            <w:tcBorders>
              <w:top w:val="nil"/>
              <w:left w:val="nil"/>
              <w:bottom w:val="nil"/>
              <w:right w:val="nil"/>
            </w:tcBorders>
            <w:shd w:val="clear" w:color="auto" w:fill="FFFFFF"/>
            <w:vAlign w:val="center"/>
          </w:tcPr>
          <w:p w14:paraId="2744C20B">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Colistin methanesulfonate: administered 9-million unit (MIU), followed by 4.5-MIU every 12 h, adjusted for renal function in patients with creatinine clearance of less than 50 mL/min with Garonzik and colleagues’ formula. Meropenem: 2 g extended-infusion (3 h) every 8 h, adjusted for renal function by protocol. Duration: at least 10 </w:t>
            </w:r>
          </w:p>
        </w:tc>
        <w:tc>
          <w:tcPr>
            <w:tcW w:w="1157" w:type="dxa"/>
            <w:tcBorders>
              <w:top w:val="nil"/>
              <w:left w:val="nil"/>
              <w:bottom w:val="nil"/>
              <w:right w:val="nil"/>
            </w:tcBorders>
            <w:shd w:val="clear" w:color="auto" w:fill="FFFFFF"/>
            <w:vAlign w:val="center"/>
          </w:tcPr>
          <w:p w14:paraId="785B6161">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Colistin</w:t>
            </w:r>
          </w:p>
        </w:tc>
        <w:tc>
          <w:tcPr>
            <w:tcW w:w="2038" w:type="dxa"/>
            <w:tcBorders>
              <w:top w:val="nil"/>
              <w:left w:val="nil"/>
              <w:bottom w:val="nil"/>
              <w:right w:val="nil"/>
            </w:tcBorders>
            <w:shd w:val="clear" w:color="auto" w:fill="FFFFFF"/>
            <w:vAlign w:val="center"/>
          </w:tcPr>
          <w:p w14:paraId="5530BA48">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Colistin methanesulfonate: administered 9-MIU, followed by 4.5-MIU every 12 h, adjusted for renal function in patients with creatinine clearance of less than 50 mL/min with Garonzik and colleagues’ formula.</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Duration: at least 10 </w:t>
            </w:r>
          </w:p>
        </w:tc>
      </w:tr>
      <w:tr w14:paraId="14439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0" w:type="dxa"/>
            <w:tcBorders>
              <w:top w:val="nil"/>
              <w:left w:val="nil"/>
              <w:bottom w:val="nil"/>
              <w:right w:val="nil"/>
            </w:tcBorders>
            <w:shd w:val="clear" w:color="auto" w:fill="FFFFFF"/>
            <w:vAlign w:val="center"/>
          </w:tcPr>
          <w:p w14:paraId="58305D6E">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Furtado 2007</w:t>
            </w:r>
          </w:p>
        </w:tc>
        <w:tc>
          <w:tcPr>
            <w:tcW w:w="810" w:type="dxa"/>
            <w:tcBorders>
              <w:top w:val="nil"/>
              <w:left w:val="nil"/>
              <w:bottom w:val="nil"/>
              <w:right w:val="nil"/>
            </w:tcBorders>
            <w:shd w:val="clear" w:color="auto" w:fill="FFFFFF"/>
            <w:vAlign w:val="center"/>
          </w:tcPr>
          <w:p w14:paraId="539D6A6A">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Retrospective cohort study</w:t>
            </w:r>
          </w:p>
        </w:tc>
        <w:tc>
          <w:tcPr>
            <w:tcW w:w="1083" w:type="dxa"/>
            <w:tcBorders>
              <w:top w:val="nil"/>
              <w:left w:val="nil"/>
              <w:bottom w:val="nil"/>
              <w:right w:val="nil"/>
            </w:tcBorders>
            <w:shd w:val="clear" w:color="auto" w:fill="FFFFFF"/>
            <w:vAlign w:val="center"/>
          </w:tcPr>
          <w:p w14:paraId="64DA73E9">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Brazil</w:t>
            </w:r>
          </w:p>
        </w:tc>
        <w:tc>
          <w:tcPr>
            <w:tcW w:w="1124" w:type="dxa"/>
            <w:tcBorders>
              <w:top w:val="nil"/>
              <w:left w:val="nil"/>
              <w:bottom w:val="nil"/>
              <w:right w:val="nil"/>
            </w:tcBorders>
            <w:shd w:val="clear" w:color="auto" w:fill="FFFFFF"/>
            <w:vAlign w:val="center"/>
          </w:tcPr>
          <w:p w14:paraId="6C3066E0">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28; C: 46</w:t>
            </w:r>
          </w:p>
        </w:tc>
        <w:tc>
          <w:tcPr>
            <w:tcW w:w="1008" w:type="dxa"/>
            <w:tcBorders>
              <w:top w:val="nil"/>
              <w:left w:val="nil"/>
              <w:bottom w:val="nil"/>
              <w:right w:val="nil"/>
            </w:tcBorders>
            <w:shd w:val="clear" w:color="auto" w:fill="FFFFFF"/>
            <w:vAlign w:val="center"/>
          </w:tcPr>
          <w:p w14:paraId="4B32DD97">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≥16 </w:t>
            </w:r>
          </w:p>
        </w:tc>
        <w:tc>
          <w:tcPr>
            <w:tcW w:w="1825" w:type="dxa"/>
            <w:tcBorders>
              <w:top w:val="nil"/>
              <w:left w:val="nil"/>
              <w:bottom w:val="nil"/>
              <w:right w:val="nil"/>
            </w:tcBorders>
            <w:shd w:val="clear" w:color="auto" w:fill="FFFFFF"/>
            <w:vAlign w:val="center"/>
          </w:tcPr>
          <w:p w14:paraId="27955F3B">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MDR-PA</w:t>
            </w:r>
          </w:p>
        </w:tc>
        <w:tc>
          <w:tcPr>
            <w:tcW w:w="1335" w:type="dxa"/>
            <w:tcBorders>
              <w:top w:val="nil"/>
              <w:left w:val="nil"/>
              <w:bottom w:val="nil"/>
              <w:right w:val="nil"/>
            </w:tcBorders>
            <w:shd w:val="clear" w:color="auto" w:fill="FFFFFF"/>
            <w:vAlign w:val="center"/>
          </w:tcPr>
          <w:p w14:paraId="6590E9ED">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Nosocomial pneumonia</w:t>
            </w:r>
          </w:p>
        </w:tc>
        <w:tc>
          <w:tcPr>
            <w:tcW w:w="1157" w:type="dxa"/>
            <w:tcBorders>
              <w:top w:val="nil"/>
              <w:left w:val="nil"/>
              <w:bottom w:val="nil"/>
              <w:right w:val="nil"/>
            </w:tcBorders>
            <w:shd w:val="clear" w:color="auto" w:fill="FFFFFF"/>
            <w:vAlign w:val="center"/>
          </w:tcPr>
          <w:p w14:paraId="68C470B7">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Polymyxin B combined others</w:t>
            </w:r>
          </w:p>
        </w:tc>
        <w:tc>
          <w:tcPr>
            <w:tcW w:w="2430" w:type="dxa"/>
            <w:tcBorders>
              <w:top w:val="nil"/>
              <w:left w:val="nil"/>
              <w:bottom w:val="nil"/>
              <w:right w:val="nil"/>
            </w:tcBorders>
            <w:shd w:val="clear" w:color="auto" w:fill="FFFFFF"/>
            <w:vAlign w:val="center"/>
          </w:tcPr>
          <w:p w14:paraId="16486753">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Polymyxin doses were selected on the basis of estimated creatinine clearance (CrCL) the same as the comparison group. </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Concomitant antibiotic therapy: Imipenem: n=24,Ciprofloxacin: n=2,Cefepime n=1,Ceftazidime n=1. Duration: determined by the attending physician</w:t>
            </w:r>
          </w:p>
        </w:tc>
        <w:tc>
          <w:tcPr>
            <w:tcW w:w="1157" w:type="dxa"/>
            <w:tcBorders>
              <w:top w:val="nil"/>
              <w:left w:val="nil"/>
              <w:bottom w:val="nil"/>
              <w:right w:val="nil"/>
            </w:tcBorders>
            <w:shd w:val="clear" w:color="auto" w:fill="FFFFFF"/>
            <w:vAlign w:val="center"/>
          </w:tcPr>
          <w:p w14:paraId="33512399">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Polymyxin B</w:t>
            </w:r>
          </w:p>
        </w:tc>
        <w:tc>
          <w:tcPr>
            <w:tcW w:w="2038" w:type="dxa"/>
            <w:tcBorders>
              <w:top w:val="nil"/>
              <w:left w:val="nil"/>
              <w:bottom w:val="nil"/>
              <w:right w:val="nil"/>
            </w:tcBorders>
            <w:shd w:val="clear" w:color="auto" w:fill="FFFFFF"/>
            <w:vAlign w:val="center"/>
          </w:tcPr>
          <w:p w14:paraId="6DD0BC84">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Patients with (CrCL) ≥80 mL/min: 1.5–2.5 mg/kg/day.    CrCL 30–80 mL/min: 2.5 mg/kg on Day 1, then 1.0–1.5 mg/kg/day.   CrCL &lt;30 mL/min: 2.5 mg/kg on Day 1, then 1.0–1.5 mg/kg given every 2–3 days. Anuric patients:  2.5 mg/kg on Day 1, then 1.0 mg/kg given every 5–7 days.   The total daily dose was administered by continuous infusion over 24 h. Duration: determined by the attending physician</w:t>
            </w:r>
          </w:p>
        </w:tc>
      </w:tr>
      <w:tr w14:paraId="76A9E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90" w:type="dxa"/>
            <w:tcBorders>
              <w:top w:val="nil"/>
              <w:left w:val="nil"/>
              <w:bottom w:val="nil"/>
              <w:right w:val="nil"/>
            </w:tcBorders>
            <w:shd w:val="clear" w:color="auto" w:fill="FFFFFF"/>
            <w:vAlign w:val="center"/>
          </w:tcPr>
          <w:p w14:paraId="1C5B53AA">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Falagas 2010</w:t>
            </w:r>
          </w:p>
        </w:tc>
        <w:tc>
          <w:tcPr>
            <w:tcW w:w="810" w:type="dxa"/>
            <w:tcBorders>
              <w:top w:val="nil"/>
              <w:left w:val="nil"/>
              <w:bottom w:val="nil"/>
              <w:right w:val="nil"/>
            </w:tcBorders>
            <w:shd w:val="clear" w:color="auto" w:fill="FFFFFF"/>
            <w:vAlign w:val="center"/>
          </w:tcPr>
          <w:p w14:paraId="3981E0BF">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Retrospective cohort study</w:t>
            </w:r>
          </w:p>
        </w:tc>
        <w:tc>
          <w:tcPr>
            <w:tcW w:w="1083" w:type="dxa"/>
            <w:tcBorders>
              <w:top w:val="nil"/>
              <w:left w:val="nil"/>
              <w:bottom w:val="nil"/>
              <w:right w:val="nil"/>
            </w:tcBorders>
            <w:shd w:val="clear" w:color="auto" w:fill="FFFFFF"/>
            <w:vAlign w:val="center"/>
          </w:tcPr>
          <w:p w14:paraId="45AD5D83">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Greece</w:t>
            </w:r>
          </w:p>
        </w:tc>
        <w:tc>
          <w:tcPr>
            <w:tcW w:w="1124" w:type="dxa"/>
            <w:tcBorders>
              <w:top w:val="nil"/>
              <w:left w:val="nil"/>
              <w:bottom w:val="nil"/>
              <w:right w:val="nil"/>
            </w:tcBorders>
            <w:shd w:val="clear" w:color="auto" w:fill="FFFFFF"/>
            <w:vAlign w:val="center"/>
          </w:tcPr>
          <w:p w14:paraId="1A964BB4">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I:56; C:12</w:t>
            </w:r>
          </w:p>
        </w:tc>
        <w:tc>
          <w:tcPr>
            <w:tcW w:w="1008" w:type="dxa"/>
            <w:tcBorders>
              <w:top w:val="nil"/>
              <w:left w:val="nil"/>
              <w:bottom w:val="nil"/>
              <w:right w:val="nil"/>
            </w:tcBorders>
            <w:shd w:val="clear" w:color="auto" w:fill="FFFFFF"/>
            <w:vAlign w:val="center"/>
          </w:tcPr>
          <w:p w14:paraId="5A547B09">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 61 range(15–98</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w:t>
            </w:r>
          </w:p>
        </w:tc>
        <w:tc>
          <w:tcPr>
            <w:tcW w:w="1825" w:type="dxa"/>
            <w:tcBorders>
              <w:top w:val="nil"/>
              <w:left w:val="nil"/>
              <w:bottom w:val="nil"/>
              <w:right w:val="nil"/>
            </w:tcBorders>
            <w:shd w:val="clear" w:color="auto" w:fill="FFFFFF"/>
            <w:vAlign w:val="center"/>
          </w:tcPr>
          <w:p w14:paraId="50C7CFDC">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MDR-PA</w:t>
            </w:r>
          </w:p>
        </w:tc>
        <w:tc>
          <w:tcPr>
            <w:tcW w:w="1335" w:type="dxa"/>
            <w:tcBorders>
              <w:top w:val="nil"/>
              <w:left w:val="nil"/>
              <w:bottom w:val="nil"/>
              <w:right w:val="nil"/>
            </w:tcBorders>
            <w:shd w:val="clear" w:color="auto" w:fill="FFFFFF"/>
            <w:vAlign w:val="center"/>
          </w:tcPr>
          <w:p w14:paraId="02E8A718">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Pneumonia: 155, bacteraemia: 33, abdomi nal infections: 22, central venous catheter-related infections: 16,other sites: 32</w:t>
            </w:r>
          </w:p>
        </w:tc>
        <w:tc>
          <w:tcPr>
            <w:tcW w:w="1157" w:type="dxa"/>
            <w:tcBorders>
              <w:top w:val="nil"/>
              <w:left w:val="nil"/>
              <w:bottom w:val="nil"/>
              <w:right w:val="nil"/>
            </w:tcBorders>
            <w:shd w:val="clear" w:color="auto" w:fill="FFFFFF"/>
            <w:vAlign w:val="center"/>
          </w:tcPr>
          <w:p w14:paraId="5FF16512">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Colistin combined others</w:t>
            </w:r>
          </w:p>
        </w:tc>
        <w:tc>
          <w:tcPr>
            <w:tcW w:w="2430" w:type="dxa"/>
            <w:tcBorders>
              <w:top w:val="nil"/>
              <w:left w:val="nil"/>
              <w:bottom w:val="nil"/>
              <w:right w:val="nil"/>
            </w:tcBorders>
            <w:shd w:val="clear" w:color="auto" w:fill="FFFFFF"/>
            <w:vAlign w:val="center"/>
          </w:tcPr>
          <w:p w14:paraId="222D580C">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Meropenem: n=28, piperacillin/tazobactam: n=10,ampicillin/sulbactam n=1,Other agents n=17: included aminoglycosides (11 patients), imipenem (10 patients), cephalosporins (7 patients), aztreonam (2 patients) and ciprofloxacin (1 patient). n=1,Ceftazidime n=1.</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Mean duration: 17.9 (IQR 10–22).</w:t>
            </w:r>
          </w:p>
        </w:tc>
        <w:tc>
          <w:tcPr>
            <w:tcW w:w="1157" w:type="dxa"/>
            <w:tcBorders>
              <w:top w:val="nil"/>
              <w:left w:val="nil"/>
              <w:bottom w:val="nil"/>
              <w:right w:val="nil"/>
            </w:tcBorders>
            <w:shd w:val="clear" w:color="auto" w:fill="FFFFFF"/>
            <w:vAlign w:val="center"/>
          </w:tcPr>
          <w:p w14:paraId="40F8CD5F">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Colistin</w:t>
            </w:r>
          </w:p>
        </w:tc>
        <w:tc>
          <w:tcPr>
            <w:tcW w:w="2038" w:type="dxa"/>
            <w:tcBorders>
              <w:top w:val="nil"/>
              <w:left w:val="nil"/>
              <w:bottom w:val="nil"/>
              <w:right w:val="nil"/>
            </w:tcBorders>
            <w:shd w:val="clear" w:color="auto" w:fill="FFFFFF"/>
            <w:vAlign w:val="center"/>
          </w:tcPr>
          <w:p w14:paraId="1260E4F8">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Mean duration: 17.9 (IQR 10–22). Dose: NR</w:t>
            </w:r>
          </w:p>
        </w:tc>
      </w:tr>
      <w:tr w14:paraId="5609E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0" w:type="dxa"/>
            <w:tcBorders>
              <w:top w:val="nil"/>
              <w:left w:val="nil"/>
              <w:bottom w:val="nil"/>
              <w:right w:val="nil"/>
            </w:tcBorders>
            <w:shd w:val="clear" w:color="auto" w:fill="FFFFFF"/>
            <w:vAlign w:val="center"/>
          </w:tcPr>
          <w:p w14:paraId="3F20B09A">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Samonis 2014</w:t>
            </w:r>
          </w:p>
        </w:tc>
        <w:tc>
          <w:tcPr>
            <w:tcW w:w="810" w:type="dxa"/>
            <w:tcBorders>
              <w:top w:val="nil"/>
              <w:left w:val="nil"/>
              <w:bottom w:val="nil"/>
              <w:right w:val="nil"/>
            </w:tcBorders>
            <w:shd w:val="clear" w:color="auto" w:fill="FFFFFF"/>
            <w:vAlign w:val="center"/>
          </w:tcPr>
          <w:p w14:paraId="7D4BC38E">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Retrospective cohort study</w:t>
            </w:r>
          </w:p>
        </w:tc>
        <w:tc>
          <w:tcPr>
            <w:tcW w:w="1083" w:type="dxa"/>
            <w:tcBorders>
              <w:top w:val="nil"/>
              <w:left w:val="nil"/>
              <w:bottom w:val="nil"/>
              <w:right w:val="nil"/>
            </w:tcBorders>
            <w:shd w:val="clear" w:color="auto" w:fill="FFFFFF"/>
            <w:vAlign w:val="center"/>
          </w:tcPr>
          <w:p w14:paraId="6466D407">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Greece</w:t>
            </w:r>
          </w:p>
        </w:tc>
        <w:tc>
          <w:tcPr>
            <w:tcW w:w="1124" w:type="dxa"/>
            <w:tcBorders>
              <w:top w:val="nil"/>
              <w:left w:val="nil"/>
              <w:bottom w:val="nil"/>
              <w:right w:val="nil"/>
            </w:tcBorders>
            <w:shd w:val="clear" w:color="auto" w:fill="FFFFFF"/>
            <w:vAlign w:val="center"/>
          </w:tcPr>
          <w:p w14:paraId="1C8032A5">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8; C: 7</w:t>
            </w:r>
          </w:p>
        </w:tc>
        <w:tc>
          <w:tcPr>
            <w:tcW w:w="1008" w:type="dxa"/>
            <w:tcBorders>
              <w:top w:val="nil"/>
              <w:left w:val="nil"/>
              <w:bottom w:val="nil"/>
              <w:right w:val="nil"/>
            </w:tcBorders>
            <w:shd w:val="clear" w:color="auto" w:fill="FFFFFF"/>
            <w:vAlign w:val="center"/>
          </w:tcPr>
          <w:p w14:paraId="20D06A8A">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Median (range): 73 (21–87)</w:t>
            </w:r>
          </w:p>
        </w:tc>
        <w:tc>
          <w:tcPr>
            <w:tcW w:w="1825" w:type="dxa"/>
            <w:tcBorders>
              <w:top w:val="nil"/>
              <w:left w:val="nil"/>
              <w:bottom w:val="nil"/>
              <w:right w:val="nil"/>
            </w:tcBorders>
            <w:shd w:val="clear" w:color="auto" w:fill="FFFFFF"/>
            <w:vAlign w:val="center"/>
          </w:tcPr>
          <w:p w14:paraId="54E0552C">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XDR-PA</w:t>
            </w:r>
          </w:p>
        </w:tc>
        <w:tc>
          <w:tcPr>
            <w:tcW w:w="1335" w:type="dxa"/>
            <w:tcBorders>
              <w:top w:val="nil"/>
              <w:left w:val="nil"/>
              <w:bottom w:val="nil"/>
              <w:right w:val="nil"/>
            </w:tcBorders>
            <w:shd w:val="clear" w:color="auto" w:fill="FFFFFF"/>
            <w:vAlign w:val="center"/>
          </w:tcPr>
          <w:p w14:paraId="070852D3">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Cancer patients</w:t>
            </w:r>
          </w:p>
        </w:tc>
        <w:tc>
          <w:tcPr>
            <w:tcW w:w="1157" w:type="dxa"/>
            <w:tcBorders>
              <w:top w:val="nil"/>
              <w:left w:val="nil"/>
              <w:bottom w:val="nil"/>
              <w:right w:val="nil"/>
            </w:tcBorders>
            <w:shd w:val="clear" w:color="auto" w:fill="FFFFFF"/>
            <w:vAlign w:val="center"/>
          </w:tcPr>
          <w:p w14:paraId="25C3D3C8">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Colistin combined others</w:t>
            </w:r>
          </w:p>
        </w:tc>
        <w:tc>
          <w:tcPr>
            <w:tcW w:w="2430" w:type="dxa"/>
            <w:tcBorders>
              <w:top w:val="nil"/>
              <w:left w:val="nil"/>
              <w:bottom w:val="nil"/>
              <w:right w:val="nil"/>
            </w:tcBorders>
            <w:shd w:val="clear" w:color="auto" w:fill="FFFFFF"/>
            <w:vAlign w:val="center"/>
          </w:tcPr>
          <w:p w14:paraId="114CA247">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Colistin + other; Dosage and duration: NR</w:t>
            </w:r>
          </w:p>
        </w:tc>
        <w:tc>
          <w:tcPr>
            <w:tcW w:w="1157" w:type="dxa"/>
            <w:tcBorders>
              <w:top w:val="nil"/>
              <w:left w:val="nil"/>
              <w:bottom w:val="nil"/>
              <w:right w:val="nil"/>
            </w:tcBorders>
            <w:shd w:val="clear" w:color="auto" w:fill="FFFFFF"/>
            <w:vAlign w:val="center"/>
          </w:tcPr>
          <w:p w14:paraId="35F000E1">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Colistin</w:t>
            </w:r>
          </w:p>
        </w:tc>
        <w:tc>
          <w:tcPr>
            <w:tcW w:w="2038" w:type="dxa"/>
            <w:tcBorders>
              <w:top w:val="nil"/>
              <w:left w:val="nil"/>
              <w:bottom w:val="nil"/>
              <w:right w:val="nil"/>
            </w:tcBorders>
            <w:shd w:val="clear" w:color="auto" w:fill="FFFFFF"/>
            <w:vAlign w:val="center"/>
          </w:tcPr>
          <w:p w14:paraId="18D43B4E">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Colistin； Dosage and duration: NR</w:t>
            </w:r>
          </w:p>
        </w:tc>
      </w:tr>
      <w:tr w14:paraId="7380B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0" w:type="dxa"/>
            <w:tcBorders>
              <w:top w:val="nil"/>
              <w:left w:val="nil"/>
              <w:bottom w:val="nil"/>
              <w:right w:val="nil"/>
            </w:tcBorders>
            <w:shd w:val="clear" w:color="auto" w:fill="FFFFFF"/>
            <w:vAlign w:val="center"/>
          </w:tcPr>
          <w:p w14:paraId="1C27F876">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Regatto 2015</w:t>
            </w:r>
          </w:p>
        </w:tc>
        <w:tc>
          <w:tcPr>
            <w:tcW w:w="810" w:type="dxa"/>
            <w:tcBorders>
              <w:top w:val="nil"/>
              <w:left w:val="nil"/>
              <w:bottom w:val="nil"/>
              <w:right w:val="nil"/>
            </w:tcBorders>
            <w:shd w:val="clear" w:color="auto" w:fill="FFFFFF"/>
            <w:vAlign w:val="center"/>
          </w:tcPr>
          <w:p w14:paraId="00BFA326">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Retrospective cohort study</w:t>
            </w:r>
          </w:p>
        </w:tc>
        <w:tc>
          <w:tcPr>
            <w:tcW w:w="1083" w:type="dxa"/>
            <w:tcBorders>
              <w:top w:val="nil"/>
              <w:left w:val="nil"/>
              <w:bottom w:val="nil"/>
              <w:right w:val="nil"/>
            </w:tcBorders>
            <w:shd w:val="clear" w:color="auto" w:fill="FFFFFF"/>
            <w:vAlign w:val="center"/>
          </w:tcPr>
          <w:p w14:paraId="4E2CE5DC">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Brazil</w:t>
            </w:r>
          </w:p>
        </w:tc>
        <w:tc>
          <w:tcPr>
            <w:tcW w:w="1124" w:type="dxa"/>
            <w:tcBorders>
              <w:top w:val="nil"/>
              <w:left w:val="nil"/>
              <w:bottom w:val="nil"/>
              <w:right w:val="nil"/>
            </w:tcBorders>
            <w:shd w:val="clear" w:color="auto" w:fill="FFFFFF"/>
            <w:vAlign w:val="center"/>
          </w:tcPr>
          <w:p w14:paraId="53DAE556">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3; C: 15</w:t>
            </w:r>
          </w:p>
        </w:tc>
        <w:tc>
          <w:tcPr>
            <w:tcW w:w="1008" w:type="dxa"/>
            <w:tcBorders>
              <w:top w:val="nil"/>
              <w:left w:val="nil"/>
              <w:bottom w:val="nil"/>
              <w:right w:val="nil"/>
            </w:tcBorders>
            <w:shd w:val="clear" w:color="auto" w:fill="FFFFFF"/>
            <w:vAlign w:val="center"/>
          </w:tcPr>
          <w:p w14:paraId="0AC5D71F">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 I: 62.7 (15.6); C: 66.5(15.7)</w:t>
            </w:r>
          </w:p>
        </w:tc>
        <w:tc>
          <w:tcPr>
            <w:tcW w:w="1825" w:type="dxa"/>
            <w:tcBorders>
              <w:top w:val="nil"/>
              <w:left w:val="nil"/>
              <w:bottom w:val="nil"/>
              <w:right w:val="nil"/>
            </w:tcBorders>
            <w:shd w:val="clear" w:color="auto" w:fill="FFFFFF"/>
            <w:vAlign w:val="center"/>
          </w:tcPr>
          <w:p w14:paraId="6505738F">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XDR-PA</w:t>
            </w:r>
          </w:p>
        </w:tc>
        <w:tc>
          <w:tcPr>
            <w:tcW w:w="1335" w:type="dxa"/>
            <w:tcBorders>
              <w:top w:val="nil"/>
              <w:left w:val="nil"/>
              <w:bottom w:val="nil"/>
              <w:right w:val="nil"/>
            </w:tcBorders>
            <w:shd w:val="clear" w:color="auto" w:fill="FFFFFF"/>
            <w:vAlign w:val="center"/>
          </w:tcPr>
          <w:p w14:paraId="1B97296F">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Primary bloodstream infection: n=4/5; Respiratory infection: n=25/57; Abdominal infection: n=3/3; Upper urinary tract infection: n=1/3; Bacteremia: n=5/14</w:t>
            </w:r>
          </w:p>
        </w:tc>
        <w:tc>
          <w:tcPr>
            <w:tcW w:w="1157" w:type="dxa"/>
            <w:tcBorders>
              <w:top w:val="nil"/>
              <w:left w:val="nil"/>
              <w:bottom w:val="nil"/>
              <w:right w:val="nil"/>
            </w:tcBorders>
            <w:shd w:val="clear" w:color="auto" w:fill="FFFFFF"/>
            <w:vAlign w:val="center"/>
          </w:tcPr>
          <w:p w14:paraId="0F44A0F8">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Polymyxin B combined others</w:t>
            </w:r>
          </w:p>
        </w:tc>
        <w:tc>
          <w:tcPr>
            <w:tcW w:w="2430" w:type="dxa"/>
            <w:tcBorders>
              <w:top w:val="nil"/>
              <w:left w:val="nil"/>
              <w:bottom w:val="nil"/>
              <w:right w:val="nil"/>
            </w:tcBorders>
            <w:shd w:val="clear" w:color="auto" w:fill="FFFFFF"/>
            <w:vAlign w:val="center"/>
          </w:tcPr>
          <w:p w14:paraId="144531AE">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Polymyxin B in combination with an in vitro non-susceptible antimicrobial, meropenem: 23, imipenem 1, ampicillin-sulbactam 3, piperacillin-tazobactam 2, rifampin 1, amikacin 3) follow the institutional protocols。 Duration: NR</w:t>
            </w:r>
          </w:p>
        </w:tc>
        <w:tc>
          <w:tcPr>
            <w:tcW w:w="1157" w:type="dxa"/>
            <w:tcBorders>
              <w:top w:val="nil"/>
              <w:left w:val="nil"/>
              <w:bottom w:val="nil"/>
              <w:right w:val="nil"/>
            </w:tcBorders>
            <w:shd w:val="clear" w:color="auto" w:fill="FFFFFF"/>
            <w:vAlign w:val="center"/>
          </w:tcPr>
          <w:p w14:paraId="524D3D94">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Polymyxin B</w:t>
            </w:r>
          </w:p>
        </w:tc>
        <w:tc>
          <w:tcPr>
            <w:tcW w:w="2038" w:type="dxa"/>
            <w:tcBorders>
              <w:top w:val="nil"/>
              <w:left w:val="nil"/>
              <w:bottom w:val="nil"/>
              <w:right w:val="nil"/>
            </w:tcBorders>
            <w:shd w:val="clear" w:color="auto" w:fill="FFFFFF"/>
            <w:vAlign w:val="center"/>
          </w:tcPr>
          <w:p w14:paraId="3B893DC2">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Polymyxin B: Mean daily dose 2.3±0.6 mg/kg </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Duration: NR</w:t>
            </w:r>
          </w:p>
        </w:tc>
      </w:tr>
      <w:tr w14:paraId="1B1A9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0" w:type="dxa"/>
            <w:tcBorders>
              <w:top w:val="nil"/>
              <w:left w:val="nil"/>
              <w:bottom w:val="nil"/>
              <w:right w:val="nil"/>
            </w:tcBorders>
            <w:shd w:val="clear" w:color="auto" w:fill="FFFFFF"/>
            <w:vAlign w:val="center"/>
          </w:tcPr>
          <w:p w14:paraId="3E179D3A">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Ribera 2015</w:t>
            </w:r>
          </w:p>
        </w:tc>
        <w:tc>
          <w:tcPr>
            <w:tcW w:w="810" w:type="dxa"/>
            <w:tcBorders>
              <w:top w:val="nil"/>
              <w:left w:val="nil"/>
              <w:bottom w:val="nil"/>
              <w:right w:val="nil"/>
            </w:tcBorders>
            <w:shd w:val="clear" w:color="auto" w:fill="FFFFFF"/>
            <w:vAlign w:val="center"/>
          </w:tcPr>
          <w:p w14:paraId="613FE252">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Retrospective cohort study</w:t>
            </w:r>
          </w:p>
        </w:tc>
        <w:tc>
          <w:tcPr>
            <w:tcW w:w="1083" w:type="dxa"/>
            <w:tcBorders>
              <w:top w:val="nil"/>
              <w:left w:val="nil"/>
              <w:bottom w:val="nil"/>
              <w:right w:val="nil"/>
            </w:tcBorders>
            <w:shd w:val="clear" w:color="auto" w:fill="FFFFFF"/>
            <w:vAlign w:val="center"/>
          </w:tcPr>
          <w:p w14:paraId="69EC9FA2">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Spain</w:t>
            </w:r>
          </w:p>
        </w:tc>
        <w:tc>
          <w:tcPr>
            <w:tcW w:w="1124" w:type="dxa"/>
            <w:tcBorders>
              <w:top w:val="nil"/>
              <w:left w:val="nil"/>
              <w:bottom w:val="nil"/>
              <w:right w:val="nil"/>
            </w:tcBorders>
            <w:shd w:val="clear" w:color="auto" w:fill="FFFFFF"/>
            <w:vAlign w:val="center"/>
          </w:tcPr>
          <w:p w14:paraId="71B99A10">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15; C: 19</w:t>
            </w:r>
          </w:p>
        </w:tc>
        <w:tc>
          <w:tcPr>
            <w:tcW w:w="1008" w:type="dxa"/>
            <w:tcBorders>
              <w:top w:val="nil"/>
              <w:left w:val="nil"/>
              <w:bottom w:val="nil"/>
              <w:right w:val="nil"/>
            </w:tcBorders>
            <w:shd w:val="clear" w:color="auto" w:fill="FFFFFF"/>
            <w:vAlign w:val="center"/>
          </w:tcPr>
          <w:p w14:paraId="14AD881F">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Median (IQR): 68.7 (59.5–78)</w:t>
            </w:r>
          </w:p>
        </w:tc>
        <w:tc>
          <w:tcPr>
            <w:tcW w:w="1825" w:type="dxa"/>
            <w:tcBorders>
              <w:top w:val="nil"/>
              <w:left w:val="nil"/>
              <w:bottom w:val="nil"/>
              <w:right w:val="nil"/>
            </w:tcBorders>
            <w:shd w:val="clear" w:color="auto" w:fill="FFFFFF"/>
            <w:vAlign w:val="center"/>
          </w:tcPr>
          <w:p w14:paraId="1B5B4182">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MDR or XDR PA</w:t>
            </w:r>
          </w:p>
        </w:tc>
        <w:tc>
          <w:tcPr>
            <w:tcW w:w="1335" w:type="dxa"/>
            <w:tcBorders>
              <w:top w:val="nil"/>
              <w:left w:val="nil"/>
              <w:bottom w:val="nil"/>
              <w:right w:val="nil"/>
            </w:tcBorders>
            <w:shd w:val="clear" w:color="auto" w:fill="FFFFFF"/>
            <w:vAlign w:val="center"/>
          </w:tcPr>
          <w:p w14:paraId="5ACEF560">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Osteoarticular infections (15 (44.1%) had prosthetic joint infections and 19 (55.9%) osteoarthritis)</w:t>
            </w:r>
          </w:p>
        </w:tc>
        <w:tc>
          <w:tcPr>
            <w:tcW w:w="1157" w:type="dxa"/>
            <w:tcBorders>
              <w:top w:val="nil"/>
              <w:left w:val="nil"/>
              <w:bottom w:val="nil"/>
              <w:right w:val="nil"/>
            </w:tcBorders>
            <w:shd w:val="clear" w:color="auto" w:fill="FFFFFF"/>
            <w:vAlign w:val="center"/>
          </w:tcPr>
          <w:p w14:paraId="6BB7003E">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Colistin combined β-lactam</w:t>
            </w:r>
          </w:p>
        </w:tc>
        <w:tc>
          <w:tcPr>
            <w:tcW w:w="2430" w:type="dxa"/>
            <w:tcBorders>
              <w:top w:val="nil"/>
              <w:left w:val="nil"/>
              <w:bottom w:val="nil"/>
              <w:right w:val="nil"/>
            </w:tcBorders>
            <w:shd w:val="clear" w:color="auto" w:fill="FFFFFF"/>
            <w:vAlign w:val="center"/>
          </w:tcPr>
          <w:p w14:paraId="5B49AF05">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Colistin+β-lactam intermittent bolus n=3, colistin+β-lactam continuous infusion n=10, amikacin+β-lactam intermittent bolus n=2.</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Dration: 40.5 days (IQR 26-43)</w:t>
            </w:r>
          </w:p>
        </w:tc>
        <w:tc>
          <w:tcPr>
            <w:tcW w:w="1157" w:type="dxa"/>
            <w:tcBorders>
              <w:top w:val="nil"/>
              <w:left w:val="nil"/>
              <w:bottom w:val="nil"/>
              <w:right w:val="nil"/>
            </w:tcBorders>
            <w:shd w:val="clear" w:color="auto" w:fill="FFFFFF"/>
            <w:vAlign w:val="center"/>
          </w:tcPr>
          <w:p w14:paraId="62CD70C9">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Colistin</w:t>
            </w:r>
          </w:p>
        </w:tc>
        <w:tc>
          <w:tcPr>
            <w:tcW w:w="2038" w:type="dxa"/>
            <w:tcBorders>
              <w:top w:val="nil"/>
              <w:left w:val="nil"/>
              <w:bottom w:val="nil"/>
              <w:right w:val="nil"/>
            </w:tcBorders>
            <w:shd w:val="clear" w:color="auto" w:fill="FFFFFF"/>
            <w:vAlign w:val="center"/>
          </w:tcPr>
          <w:p w14:paraId="703BAE18">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The median dose of</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colistin was 5 MIU/day (IQR 2.8 –6), for a median of 40.5 days (IQR</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26 –43).</w:t>
            </w:r>
          </w:p>
        </w:tc>
      </w:tr>
      <w:tr w14:paraId="5B78F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0" w:type="dxa"/>
            <w:tcBorders>
              <w:top w:val="nil"/>
              <w:left w:val="nil"/>
              <w:bottom w:val="nil"/>
              <w:right w:val="nil"/>
            </w:tcBorders>
            <w:shd w:val="clear" w:color="auto" w:fill="FFFFFF"/>
            <w:vAlign w:val="center"/>
          </w:tcPr>
          <w:p w14:paraId="0FEF5EAB">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Park 2020</w:t>
            </w:r>
          </w:p>
        </w:tc>
        <w:tc>
          <w:tcPr>
            <w:tcW w:w="810" w:type="dxa"/>
            <w:tcBorders>
              <w:top w:val="nil"/>
              <w:left w:val="nil"/>
              <w:bottom w:val="nil"/>
              <w:right w:val="nil"/>
            </w:tcBorders>
            <w:shd w:val="clear" w:color="auto" w:fill="FFFFFF"/>
            <w:vAlign w:val="center"/>
          </w:tcPr>
          <w:p w14:paraId="6CCE90EF">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Retrospective observational study</w:t>
            </w:r>
          </w:p>
        </w:tc>
        <w:tc>
          <w:tcPr>
            <w:tcW w:w="1083" w:type="dxa"/>
            <w:tcBorders>
              <w:top w:val="nil"/>
              <w:left w:val="nil"/>
              <w:bottom w:val="nil"/>
              <w:right w:val="nil"/>
            </w:tcBorders>
            <w:shd w:val="clear" w:color="auto" w:fill="FFFFFF"/>
            <w:vAlign w:val="center"/>
          </w:tcPr>
          <w:p w14:paraId="4E6A8ACC">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Korea</w:t>
            </w:r>
          </w:p>
        </w:tc>
        <w:tc>
          <w:tcPr>
            <w:tcW w:w="1124" w:type="dxa"/>
            <w:tcBorders>
              <w:top w:val="nil"/>
              <w:left w:val="nil"/>
              <w:bottom w:val="nil"/>
              <w:right w:val="nil"/>
            </w:tcBorders>
            <w:shd w:val="clear" w:color="auto" w:fill="FFFFFF"/>
            <w:vAlign w:val="center"/>
          </w:tcPr>
          <w:p w14:paraId="6A72ACC9">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19; C: 12</w:t>
            </w:r>
          </w:p>
        </w:tc>
        <w:tc>
          <w:tcPr>
            <w:tcW w:w="1008" w:type="dxa"/>
            <w:tcBorders>
              <w:top w:val="nil"/>
              <w:left w:val="nil"/>
              <w:bottom w:val="nil"/>
              <w:right w:val="nil"/>
            </w:tcBorders>
            <w:shd w:val="clear" w:color="auto" w:fill="FFFFFF"/>
            <w:vAlign w:val="center"/>
          </w:tcPr>
          <w:p w14:paraId="3FF888FD">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48 (  16); C: 48(16)</w:t>
            </w:r>
          </w:p>
        </w:tc>
        <w:tc>
          <w:tcPr>
            <w:tcW w:w="1825" w:type="dxa"/>
            <w:tcBorders>
              <w:top w:val="nil"/>
              <w:left w:val="nil"/>
              <w:bottom w:val="nil"/>
              <w:right w:val="nil"/>
            </w:tcBorders>
            <w:shd w:val="clear" w:color="auto" w:fill="FFFFFF"/>
            <w:vAlign w:val="center"/>
          </w:tcPr>
          <w:p w14:paraId="7777CF89">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CR-PA</w:t>
            </w:r>
          </w:p>
        </w:tc>
        <w:tc>
          <w:tcPr>
            <w:tcW w:w="1335" w:type="dxa"/>
            <w:tcBorders>
              <w:top w:val="nil"/>
              <w:left w:val="nil"/>
              <w:bottom w:val="nil"/>
              <w:right w:val="nil"/>
            </w:tcBorders>
            <w:shd w:val="clear" w:color="auto" w:fill="FFFFFF"/>
            <w:vAlign w:val="center"/>
          </w:tcPr>
          <w:p w14:paraId="49874F08">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Bacteremia</w:t>
            </w:r>
          </w:p>
        </w:tc>
        <w:tc>
          <w:tcPr>
            <w:tcW w:w="1157" w:type="dxa"/>
            <w:tcBorders>
              <w:top w:val="nil"/>
              <w:left w:val="nil"/>
              <w:bottom w:val="nil"/>
              <w:right w:val="nil"/>
            </w:tcBorders>
            <w:shd w:val="clear" w:color="auto" w:fill="FFFFFF"/>
            <w:vAlign w:val="center"/>
          </w:tcPr>
          <w:p w14:paraId="20524B15">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Colistin combined others</w:t>
            </w:r>
          </w:p>
        </w:tc>
        <w:tc>
          <w:tcPr>
            <w:tcW w:w="2430" w:type="dxa"/>
            <w:tcBorders>
              <w:top w:val="nil"/>
              <w:left w:val="nil"/>
              <w:bottom w:val="nil"/>
              <w:right w:val="nil"/>
            </w:tcBorders>
            <w:shd w:val="clear" w:color="auto" w:fill="FFFFFF"/>
            <w:vAlign w:val="center"/>
          </w:tcPr>
          <w:p w14:paraId="2474D74E">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Colistin and other antibiotics effective against gram-negative bacteria (e.g.,carbapenem or tigecycline) and/or gram-positive bacteria (e.g., glycopeptides such as vancomycin or teicoplanin).</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Duration median (range): 12 (2-36)</w:t>
            </w:r>
          </w:p>
        </w:tc>
        <w:tc>
          <w:tcPr>
            <w:tcW w:w="1157" w:type="dxa"/>
            <w:tcBorders>
              <w:top w:val="nil"/>
              <w:left w:val="nil"/>
              <w:bottom w:val="nil"/>
              <w:right w:val="nil"/>
            </w:tcBorders>
            <w:shd w:val="clear" w:color="auto" w:fill="FFFFFF"/>
            <w:vAlign w:val="center"/>
          </w:tcPr>
          <w:p w14:paraId="46472D02">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Colistin</w:t>
            </w:r>
          </w:p>
        </w:tc>
        <w:tc>
          <w:tcPr>
            <w:tcW w:w="2038" w:type="dxa"/>
            <w:tcBorders>
              <w:top w:val="nil"/>
              <w:left w:val="nil"/>
              <w:bottom w:val="nil"/>
              <w:right w:val="nil"/>
            </w:tcBorders>
            <w:shd w:val="clear" w:color="auto" w:fill="FFFFFF"/>
            <w:vAlign w:val="center"/>
          </w:tcPr>
          <w:p w14:paraId="38A20744">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Colistin: 5 mg/kg/day. The dose was adjusted according to creatinine clearance as follows: CLCr 30-70 mL/min, 2.5-3.8 mg/kg/day; and CLCr &lt; 30 mL/min, 2.5 mg/kg/day colistin.</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Duration median (range): 11 (4-31)</w:t>
            </w:r>
          </w:p>
        </w:tc>
      </w:tr>
      <w:tr w14:paraId="4D3EA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90" w:type="dxa"/>
            <w:tcBorders>
              <w:top w:val="nil"/>
              <w:left w:val="nil"/>
              <w:bottom w:val="nil"/>
              <w:right w:val="nil"/>
            </w:tcBorders>
            <w:shd w:val="clear" w:color="auto" w:fill="FFFFFF"/>
            <w:vAlign w:val="center"/>
          </w:tcPr>
          <w:p w14:paraId="6E523113">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Sorlí 2017</w:t>
            </w:r>
          </w:p>
        </w:tc>
        <w:tc>
          <w:tcPr>
            <w:tcW w:w="810" w:type="dxa"/>
            <w:tcBorders>
              <w:top w:val="nil"/>
              <w:left w:val="nil"/>
              <w:bottom w:val="nil"/>
              <w:right w:val="nil"/>
            </w:tcBorders>
            <w:shd w:val="clear" w:color="auto" w:fill="FFFFFF"/>
            <w:vAlign w:val="center"/>
          </w:tcPr>
          <w:p w14:paraId="19C0AC8A">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Prospective cohort study</w:t>
            </w:r>
          </w:p>
        </w:tc>
        <w:tc>
          <w:tcPr>
            <w:tcW w:w="1083" w:type="dxa"/>
            <w:tcBorders>
              <w:top w:val="nil"/>
              <w:left w:val="nil"/>
              <w:bottom w:val="nil"/>
              <w:right w:val="nil"/>
            </w:tcBorders>
            <w:shd w:val="clear" w:color="auto" w:fill="FFFFFF"/>
            <w:vAlign w:val="center"/>
          </w:tcPr>
          <w:p w14:paraId="65E2039E">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Spain</w:t>
            </w:r>
          </w:p>
        </w:tc>
        <w:tc>
          <w:tcPr>
            <w:tcW w:w="1124" w:type="dxa"/>
            <w:tcBorders>
              <w:top w:val="nil"/>
              <w:left w:val="nil"/>
              <w:bottom w:val="nil"/>
              <w:right w:val="nil"/>
            </w:tcBorders>
            <w:shd w:val="clear" w:color="auto" w:fill="FFFFFF"/>
            <w:vAlign w:val="center"/>
          </w:tcPr>
          <w:p w14:paraId="169430F3">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46; C: 45</w:t>
            </w:r>
          </w:p>
        </w:tc>
        <w:tc>
          <w:tcPr>
            <w:tcW w:w="1008" w:type="dxa"/>
            <w:tcBorders>
              <w:top w:val="nil"/>
              <w:left w:val="nil"/>
              <w:bottom w:val="nil"/>
              <w:right w:val="nil"/>
            </w:tcBorders>
            <w:shd w:val="clear" w:color="auto" w:fill="FFFFFF"/>
            <w:vAlign w:val="center"/>
          </w:tcPr>
          <w:p w14:paraId="6ED755AC">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Median (range):  67 (24–88)</w:t>
            </w:r>
          </w:p>
        </w:tc>
        <w:tc>
          <w:tcPr>
            <w:tcW w:w="1825" w:type="dxa"/>
            <w:tcBorders>
              <w:top w:val="nil"/>
              <w:left w:val="nil"/>
              <w:bottom w:val="nil"/>
              <w:right w:val="nil"/>
            </w:tcBorders>
            <w:shd w:val="clear" w:color="auto" w:fill="FFFFFF"/>
            <w:vAlign w:val="center"/>
          </w:tcPr>
          <w:p w14:paraId="46638B73">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XDR-PA</w:t>
            </w:r>
          </w:p>
        </w:tc>
        <w:tc>
          <w:tcPr>
            <w:tcW w:w="1335" w:type="dxa"/>
            <w:tcBorders>
              <w:top w:val="nil"/>
              <w:left w:val="nil"/>
              <w:bottom w:val="nil"/>
              <w:right w:val="nil"/>
            </w:tcBorders>
            <w:shd w:val="clear" w:color="auto" w:fill="FFFFFF"/>
            <w:vAlign w:val="center"/>
          </w:tcPr>
          <w:p w14:paraId="52564390">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Most commonly pneumonia, followed by urinary tract infection</w:t>
            </w:r>
          </w:p>
        </w:tc>
        <w:tc>
          <w:tcPr>
            <w:tcW w:w="1157" w:type="dxa"/>
            <w:tcBorders>
              <w:top w:val="nil"/>
              <w:left w:val="nil"/>
              <w:bottom w:val="nil"/>
              <w:right w:val="nil"/>
            </w:tcBorders>
            <w:shd w:val="clear" w:color="auto" w:fill="FFFFFF"/>
            <w:vAlign w:val="center"/>
          </w:tcPr>
          <w:p w14:paraId="0638F17C">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Colistimethate sodium (CMS) combined or amikacin</w:t>
            </w:r>
          </w:p>
        </w:tc>
        <w:tc>
          <w:tcPr>
            <w:tcW w:w="2430" w:type="dxa"/>
            <w:tcBorders>
              <w:top w:val="nil"/>
              <w:left w:val="nil"/>
              <w:bottom w:val="nil"/>
              <w:right w:val="nil"/>
            </w:tcBorders>
            <w:shd w:val="clear" w:color="auto" w:fill="FFFFFF"/>
            <w:vAlign w:val="center"/>
          </w:tcPr>
          <w:p w14:paraId="49221D53">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CMS plus ceftazidime or carbapenem in high-dose extended infusion, or CMS plus amikacin</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Dration: 20.18 ± 16.01</w:t>
            </w:r>
          </w:p>
        </w:tc>
        <w:tc>
          <w:tcPr>
            <w:tcW w:w="1157" w:type="dxa"/>
            <w:tcBorders>
              <w:top w:val="nil"/>
              <w:left w:val="nil"/>
              <w:bottom w:val="nil"/>
              <w:right w:val="nil"/>
            </w:tcBorders>
            <w:shd w:val="clear" w:color="auto" w:fill="FFFFFF"/>
            <w:vAlign w:val="center"/>
          </w:tcPr>
          <w:p w14:paraId="12ABA7D0">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Colistin</w:t>
            </w:r>
          </w:p>
        </w:tc>
        <w:tc>
          <w:tcPr>
            <w:tcW w:w="2038" w:type="dxa"/>
            <w:tcBorders>
              <w:top w:val="nil"/>
              <w:left w:val="nil"/>
              <w:bottom w:val="nil"/>
              <w:right w:val="nil"/>
            </w:tcBorders>
            <w:shd w:val="clear" w:color="auto" w:fill="FFFFFF"/>
            <w:vAlign w:val="center"/>
          </w:tcPr>
          <w:p w14:paraId="588F58D2">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CMS :  1 to 3 million IU every 8 h (3–9 millions IU daily).  Patients with impaired renal function: GFR≥ 76 mL/min/1.73 m2, 4–6 million IU daily in three doses; GFR 40 to 75 mL/min/1.73 m2, 2–3 million IU daily in 2 doses;GFR 25–40 mL/min/1.73 m2, 1.5–2 million IU daily divided into 1 or 2 doses; and GFR &lt; 25 mL/min/1.73 m2,0.6–1 million IU daily every 36 h. No loading-dose was administered to any included patient.</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Dration: 20.18 ± 16.01</w:t>
            </w:r>
          </w:p>
        </w:tc>
      </w:tr>
      <w:tr w14:paraId="6D419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4757" w:type="dxa"/>
            <w:gridSpan w:val="11"/>
            <w:tcBorders>
              <w:top w:val="single" w:color="000000" w:sz="12" w:space="0"/>
              <w:left w:val="nil"/>
              <w:bottom w:val="nil"/>
              <w:right w:val="nil"/>
            </w:tcBorders>
            <w:shd w:val="clear" w:color="auto" w:fill="FFFFFF"/>
            <w:vAlign w:val="top"/>
          </w:tcPr>
          <w:p w14:paraId="1B7A86BB">
            <w:pPr>
              <w:keepNext w:val="0"/>
              <w:keepLines w:val="0"/>
              <w:widowControl/>
              <w:suppressLineNumbers w:val="0"/>
              <w:snapToGrid w:val="0"/>
              <w:spacing w:before="0" w:beforeLines="0" w:after="0" w:afterLines="0"/>
              <w:jc w:val="left"/>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intervention; C: comparison; MDR: Multidrug-resistant; CR: Carbapenem-resistance; VAP: Ventilator-associated pneumonia; HAP: hospital-acquired pneumonia; GNB: Gram-negative bacteria; XDR: extensivelydrugresistant; GFR: glomerular filtration rate; NR: not reported</w:t>
            </w:r>
          </w:p>
        </w:tc>
      </w:tr>
    </w:tbl>
    <w:p w14:paraId="62F6E097">
      <w:pPr>
        <w:pStyle w:val="39"/>
        <w:rPr>
          <w:rFonts w:hint="eastAsia"/>
        </w:rPr>
      </w:pPr>
    </w:p>
    <w:p w14:paraId="0EF4CD76">
      <w:pPr>
        <w:pStyle w:val="39"/>
        <w:rPr>
          <w:rFonts w:hint="eastAsia"/>
        </w:rPr>
      </w:pPr>
      <w:r>
        <w:rPr>
          <w:rFonts w:hint="eastAsia"/>
        </w:rPr>
        <w:t>附表</w:t>
      </w:r>
      <w:r>
        <w:rPr>
          <w:rFonts w:hint="eastAsia"/>
          <w:lang w:val="en-US" w:eastAsia="zh-CN"/>
        </w:rPr>
        <w:t>6</w:t>
      </w:r>
      <w:r>
        <w:rPr>
          <w:rFonts w:hint="eastAsia"/>
        </w:rPr>
        <w:t>.临床问题</w:t>
      </w:r>
      <w:r>
        <w:rPr>
          <w:rFonts w:hint="eastAsia"/>
          <w:lang w:val="en-US" w:eastAsia="zh-CN"/>
        </w:rPr>
        <w:t>6</w:t>
      </w:r>
      <w:r>
        <w:rPr>
          <w:rFonts w:hint="eastAsia"/>
        </w:rPr>
        <w:t>纳入文献基线特征表</w:t>
      </w:r>
    </w:p>
    <w:tbl>
      <w:tblPr>
        <w:tblStyle w:val="15"/>
        <w:tblW w:w="156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54"/>
        <w:gridCol w:w="1046"/>
        <w:gridCol w:w="1408"/>
        <w:gridCol w:w="1058"/>
        <w:gridCol w:w="1380"/>
        <w:gridCol w:w="1611"/>
        <w:gridCol w:w="1248"/>
        <w:gridCol w:w="1380"/>
        <w:gridCol w:w="2263"/>
        <w:gridCol w:w="1208"/>
        <w:gridCol w:w="1731"/>
      </w:tblGrid>
      <w:tr w14:paraId="3430D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354" w:type="dxa"/>
            <w:tcBorders>
              <w:top w:val="single" w:color="000000" w:sz="12" w:space="0"/>
              <w:left w:val="nil"/>
              <w:bottom w:val="single" w:color="000000" w:sz="8" w:space="0"/>
              <w:right w:val="nil"/>
            </w:tcBorders>
            <w:shd w:val="clear" w:color="auto" w:fill="auto"/>
            <w:vAlign w:val="center"/>
          </w:tcPr>
          <w:p w14:paraId="3260DE67">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14:ligatures w14:val="none"/>
              </w:rPr>
              <w:t>Study ID</w:t>
            </w:r>
          </w:p>
        </w:tc>
        <w:tc>
          <w:tcPr>
            <w:tcW w:w="1046" w:type="dxa"/>
            <w:tcBorders>
              <w:top w:val="single" w:color="000000" w:sz="12" w:space="0"/>
              <w:left w:val="nil"/>
              <w:bottom w:val="single" w:color="000000" w:sz="8" w:space="0"/>
              <w:right w:val="nil"/>
            </w:tcBorders>
            <w:shd w:val="clear" w:color="auto" w:fill="auto"/>
            <w:vAlign w:val="center"/>
          </w:tcPr>
          <w:p w14:paraId="17762DAA">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14:ligatures w14:val="none"/>
              </w:rPr>
              <w:t>Study Design</w:t>
            </w:r>
          </w:p>
        </w:tc>
        <w:tc>
          <w:tcPr>
            <w:tcW w:w="1408" w:type="dxa"/>
            <w:tcBorders>
              <w:top w:val="single" w:color="000000" w:sz="12" w:space="0"/>
              <w:left w:val="nil"/>
              <w:bottom w:val="single" w:color="000000" w:sz="8" w:space="0"/>
              <w:right w:val="nil"/>
            </w:tcBorders>
            <w:shd w:val="clear" w:color="auto" w:fill="auto"/>
            <w:vAlign w:val="center"/>
          </w:tcPr>
          <w:p w14:paraId="465D4BF4">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bCs/>
                <w:i w:val="0"/>
                <w:iCs w:val="0"/>
                <w:color w:val="000000"/>
                <w:sz w:val="18"/>
                <w:szCs w:val="18"/>
                <w:u w:val="none"/>
                <w:lang w:val="en-US"/>
              </w:rPr>
            </w:pPr>
            <w:r>
              <w:rPr>
                <w:rFonts w:hint="default" w:ascii="Times New Roman" w:hAnsi="Times New Roman" w:eastAsia="宋体" w:cs="Times New Roman"/>
                <w:b/>
                <w:bCs/>
                <w:i w:val="0"/>
                <w:iCs w:val="0"/>
                <w:color w:val="000000"/>
                <w:kern w:val="0"/>
                <w:sz w:val="18"/>
                <w:szCs w:val="18"/>
                <w:u w:val="none"/>
                <w:lang w:val="en-US" w:eastAsia="zh-CN" w:bidi="ar"/>
                <w14:ligatures w14:val="none"/>
              </w:rPr>
              <w:t>Country</w:t>
            </w:r>
          </w:p>
        </w:tc>
        <w:tc>
          <w:tcPr>
            <w:tcW w:w="1058" w:type="dxa"/>
            <w:tcBorders>
              <w:top w:val="single" w:color="000000" w:sz="12" w:space="0"/>
              <w:left w:val="nil"/>
              <w:bottom w:val="single" w:color="000000" w:sz="8" w:space="0"/>
              <w:right w:val="nil"/>
            </w:tcBorders>
            <w:shd w:val="clear" w:color="auto" w:fill="auto"/>
            <w:vAlign w:val="center"/>
          </w:tcPr>
          <w:p w14:paraId="10E3F996">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14:ligatures w14:val="none"/>
              </w:rPr>
              <w:t>Sample Size</w:t>
            </w:r>
          </w:p>
        </w:tc>
        <w:tc>
          <w:tcPr>
            <w:tcW w:w="1380" w:type="dxa"/>
            <w:tcBorders>
              <w:top w:val="single" w:color="000000" w:sz="12" w:space="0"/>
              <w:left w:val="nil"/>
              <w:bottom w:val="single" w:color="000000" w:sz="8" w:space="0"/>
              <w:right w:val="nil"/>
            </w:tcBorders>
            <w:shd w:val="clear" w:color="auto" w:fill="auto"/>
            <w:vAlign w:val="center"/>
          </w:tcPr>
          <w:p w14:paraId="6D3DFFBB">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14:ligatures w14:val="none"/>
              </w:rPr>
            </w:pPr>
            <w:r>
              <w:rPr>
                <w:rFonts w:hint="default" w:ascii="Times New Roman" w:hAnsi="Times New Roman" w:eastAsia="宋体" w:cs="Times New Roman"/>
                <w:b/>
                <w:bCs/>
                <w:i w:val="0"/>
                <w:iCs w:val="0"/>
                <w:color w:val="000000"/>
                <w:kern w:val="0"/>
                <w:sz w:val="18"/>
                <w:szCs w:val="18"/>
                <w:u w:val="none"/>
                <w:lang w:val="en-US" w:eastAsia="zh-CN" w:bidi="ar"/>
                <w14:ligatures w14:val="none"/>
              </w:rPr>
              <w:t>Age/mean</w:t>
            </w:r>
          </w:p>
          <w:p w14:paraId="0E9DA4D1">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14:ligatures w14:val="none"/>
              </w:rPr>
              <w:t>(SD)year</w:t>
            </w:r>
          </w:p>
        </w:tc>
        <w:tc>
          <w:tcPr>
            <w:tcW w:w="1611" w:type="dxa"/>
            <w:tcBorders>
              <w:top w:val="single" w:color="000000" w:sz="12" w:space="0"/>
              <w:left w:val="nil"/>
              <w:bottom w:val="single" w:color="000000" w:sz="8" w:space="0"/>
              <w:right w:val="nil"/>
            </w:tcBorders>
            <w:shd w:val="clear" w:color="auto" w:fill="auto"/>
            <w:vAlign w:val="center"/>
          </w:tcPr>
          <w:p w14:paraId="7D47B28E">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bCs/>
                <w:i w:val="0"/>
                <w:iCs w:val="0"/>
                <w:color w:val="000000"/>
                <w:kern w:val="2"/>
                <w:sz w:val="18"/>
                <w:szCs w:val="18"/>
                <w:u w:val="none"/>
                <w:lang w:val="en-US" w:eastAsia="zh-CN" w:bidi="ar-SA"/>
                <w14:ligatures w14:val="none"/>
              </w:rPr>
            </w:pPr>
            <w:r>
              <w:rPr>
                <w:rFonts w:hint="default" w:ascii="Times New Roman" w:hAnsi="Times New Roman" w:eastAsia="宋体" w:cs="Times New Roman"/>
                <w:b/>
                <w:bCs/>
                <w:i w:val="0"/>
                <w:iCs w:val="0"/>
                <w:color w:val="000000"/>
                <w:kern w:val="0"/>
                <w:sz w:val="18"/>
                <w:szCs w:val="18"/>
                <w:u w:val="none"/>
                <w:lang w:val="en-US" w:eastAsia="zh-CN" w:bidi="ar"/>
                <w14:ligatures w14:val="none"/>
              </w:rPr>
              <w:t>Pathogenic Bacteria</w:t>
            </w:r>
          </w:p>
        </w:tc>
        <w:tc>
          <w:tcPr>
            <w:tcW w:w="1248" w:type="dxa"/>
            <w:tcBorders>
              <w:top w:val="single" w:color="000000" w:sz="12" w:space="0"/>
              <w:left w:val="nil"/>
              <w:bottom w:val="single" w:color="000000" w:sz="8" w:space="0"/>
              <w:right w:val="nil"/>
            </w:tcBorders>
            <w:shd w:val="clear" w:color="auto" w:fill="auto"/>
            <w:vAlign w:val="center"/>
          </w:tcPr>
          <w:p w14:paraId="27591FDA">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b/>
                <w:bCs/>
                <w:i w:val="0"/>
                <w:iCs w:val="0"/>
                <w:color w:val="000000"/>
                <w:kern w:val="2"/>
                <w:sz w:val="18"/>
                <w:szCs w:val="18"/>
                <w:u w:val="none"/>
                <w:lang w:val="en-US" w:eastAsia="zh-CN" w:bidi="ar-SA"/>
                <w14:ligatures w14:val="none"/>
              </w:rPr>
            </w:pPr>
            <w:r>
              <w:rPr>
                <w:rFonts w:hint="default" w:ascii="Times New Roman" w:hAnsi="Times New Roman" w:eastAsia="宋体" w:cs="Times New Roman"/>
                <w:b/>
                <w:bCs/>
                <w:i w:val="0"/>
                <w:iCs w:val="0"/>
                <w:color w:val="000000"/>
                <w:sz w:val="18"/>
                <w:szCs w:val="18"/>
                <w:u w:val="none"/>
              </w:rPr>
              <w:t>Infected Site</w:t>
            </w:r>
          </w:p>
        </w:tc>
        <w:tc>
          <w:tcPr>
            <w:tcW w:w="1380" w:type="dxa"/>
            <w:tcBorders>
              <w:top w:val="single" w:color="000000" w:sz="12" w:space="0"/>
              <w:left w:val="nil"/>
              <w:bottom w:val="single" w:color="000000" w:sz="8" w:space="0"/>
              <w:right w:val="nil"/>
            </w:tcBorders>
            <w:shd w:val="clear" w:color="auto" w:fill="auto"/>
            <w:vAlign w:val="center"/>
          </w:tcPr>
          <w:p w14:paraId="1BEDD725">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val="0"/>
                <w:i w:val="0"/>
                <w:iCs w:val="0"/>
                <w:color w:val="000000"/>
                <w:kern w:val="0"/>
                <w:sz w:val="18"/>
                <w:szCs w:val="18"/>
                <w:u w:val="none"/>
                <w:lang w:val="en-US" w:eastAsia="zh-CN" w:bidi="ar"/>
                <w14:ligatures w14:val="none"/>
              </w:rPr>
              <w:t>Intervention</w:t>
            </w:r>
          </w:p>
        </w:tc>
        <w:tc>
          <w:tcPr>
            <w:tcW w:w="2263" w:type="dxa"/>
            <w:tcBorders>
              <w:top w:val="single" w:color="000000" w:sz="12" w:space="0"/>
              <w:left w:val="nil"/>
              <w:bottom w:val="single" w:color="000000" w:sz="8" w:space="0"/>
              <w:right w:val="nil"/>
            </w:tcBorders>
            <w:shd w:val="clear" w:color="auto" w:fill="auto"/>
            <w:vAlign w:val="center"/>
          </w:tcPr>
          <w:p w14:paraId="09751C68">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Intervention: Dosage, Frequency, Duration</w:t>
            </w:r>
          </w:p>
        </w:tc>
        <w:tc>
          <w:tcPr>
            <w:tcW w:w="1208" w:type="dxa"/>
            <w:tcBorders>
              <w:top w:val="single" w:color="000000" w:sz="12" w:space="0"/>
              <w:left w:val="nil"/>
              <w:bottom w:val="single" w:color="000000" w:sz="8" w:space="0"/>
              <w:right w:val="nil"/>
            </w:tcBorders>
            <w:shd w:val="clear" w:color="auto" w:fill="auto"/>
            <w:vAlign w:val="center"/>
          </w:tcPr>
          <w:p w14:paraId="5F7A25E3">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b/>
                <w:bCs/>
                <w:i w:val="0"/>
                <w:iCs w:val="0"/>
                <w:color w:val="000000"/>
                <w:sz w:val="18"/>
                <w:szCs w:val="18"/>
                <w:u w:val="none"/>
              </w:rPr>
            </w:pPr>
            <w:r>
              <w:rPr>
                <w:rStyle w:val="18"/>
                <w:rFonts w:hint="default" w:ascii="Times New Roman" w:hAnsi="Times New Roman" w:eastAsia="Segoe UI" w:cs="Times New Roman"/>
                <w:b/>
                <w:bCs/>
                <w:i w:val="0"/>
                <w:iCs w:val="0"/>
                <w:caps w:val="0"/>
                <w:color w:val="0F1115"/>
                <w:spacing w:val="0"/>
                <w:sz w:val="18"/>
                <w:szCs w:val="18"/>
                <w:shd w:val="clear" w:fill="FFFFFF"/>
              </w:rPr>
              <w:t>Comparator</w:t>
            </w:r>
          </w:p>
        </w:tc>
        <w:tc>
          <w:tcPr>
            <w:tcW w:w="1731" w:type="dxa"/>
            <w:tcBorders>
              <w:top w:val="single" w:color="000000" w:sz="12" w:space="0"/>
              <w:left w:val="nil"/>
              <w:bottom w:val="single" w:color="000000" w:sz="8" w:space="0"/>
              <w:right w:val="nil"/>
            </w:tcBorders>
            <w:shd w:val="clear" w:color="auto" w:fill="auto"/>
            <w:vAlign w:val="center"/>
          </w:tcPr>
          <w:p w14:paraId="36B5A2E0">
            <w:pPr>
              <w:keepNext w:val="0"/>
              <w:keepLines w:val="0"/>
              <w:widowControl/>
              <w:suppressLineNumbers w:val="0"/>
              <w:snapToGrid w:val="0"/>
              <w:spacing w:before="0" w:beforeLines="0" w:after="0" w:afterLines="0"/>
              <w:jc w:val="left"/>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i w:val="0"/>
                <w:iCs w:val="0"/>
                <w:color w:val="000000"/>
                <w:kern w:val="0"/>
                <w:sz w:val="18"/>
                <w:szCs w:val="18"/>
                <w:u w:val="none"/>
                <w:lang w:val="en-US" w:eastAsia="zh-CN" w:bidi="ar"/>
                <w14:ligatures w14:val="none"/>
              </w:rPr>
              <w:t>Intervention: Dosage, Frequency, Duration</w:t>
            </w:r>
          </w:p>
        </w:tc>
      </w:tr>
      <w:tr w14:paraId="771FB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354" w:type="dxa"/>
            <w:tcBorders>
              <w:top w:val="nil"/>
              <w:left w:val="nil"/>
              <w:bottom w:val="nil"/>
              <w:right w:val="nil"/>
            </w:tcBorders>
            <w:shd w:val="clear" w:color="auto" w:fill="auto"/>
            <w:vAlign w:val="center"/>
          </w:tcPr>
          <w:p w14:paraId="023631CF">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Geller 2011</w:t>
            </w:r>
          </w:p>
        </w:tc>
        <w:tc>
          <w:tcPr>
            <w:tcW w:w="1046" w:type="dxa"/>
            <w:tcBorders>
              <w:top w:val="nil"/>
              <w:left w:val="nil"/>
              <w:bottom w:val="nil"/>
              <w:right w:val="nil"/>
            </w:tcBorders>
            <w:shd w:val="clear" w:color="auto" w:fill="auto"/>
            <w:vAlign w:val="center"/>
          </w:tcPr>
          <w:p w14:paraId="71F152E7">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RCT</w:t>
            </w:r>
          </w:p>
        </w:tc>
        <w:tc>
          <w:tcPr>
            <w:tcW w:w="1408" w:type="dxa"/>
            <w:tcBorders>
              <w:top w:val="nil"/>
              <w:left w:val="nil"/>
              <w:bottom w:val="nil"/>
              <w:right w:val="nil"/>
            </w:tcBorders>
            <w:shd w:val="clear" w:color="auto" w:fill="auto"/>
            <w:vAlign w:val="center"/>
          </w:tcPr>
          <w:p w14:paraId="7357CA4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USA and Europe</w:t>
            </w:r>
          </w:p>
        </w:tc>
        <w:tc>
          <w:tcPr>
            <w:tcW w:w="1058" w:type="dxa"/>
            <w:tcBorders>
              <w:top w:val="nil"/>
              <w:left w:val="nil"/>
              <w:bottom w:val="nil"/>
              <w:right w:val="nil"/>
            </w:tcBorders>
            <w:shd w:val="clear" w:color="auto" w:fill="auto"/>
            <w:vAlign w:val="center"/>
          </w:tcPr>
          <w:p w14:paraId="25041C7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39; C: 37</w:t>
            </w:r>
          </w:p>
        </w:tc>
        <w:tc>
          <w:tcPr>
            <w:tcW w:w="1380" w:type="dxa"/>
            <w:tcBorders>
              <w:top w:val="nil"/>
              <w:left w:val="nil"/>
              <w:bottom w:val="nil"/>
              <w:right w:val="nil"/>
            </w:tcBorders>
            <w:shd w:val="clear" w:color="auto" w:fill="auto"/>
            <w:vAlign w:val="center"/>
          </w:tcPr>
          <w:p w14:paraId="5ECF6840">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29.2 (10.0); C:  30.1 (9.9)</w:t>
            </w:r>
          </w:p>
        </w:tc>
        <w:tc>
          <w:tcPr>
            <w:tcW w:w="1611" w:type="dxa"/>
            <w:tcBorders>
              <w:top w:val="nil"/>
              <w:left w:val="nil"/>
              <w:bottom w:val="nil"/>
              <w:right w:val="nil"/>
            </w:tcBorders>
            <w:shd w:val="clear" w:color="auto" w:fill="auto"/>
            <w:vAlign w:val="center"/>
          </w:tcPr>
          <w:p w14:paraId="3AA6780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PA not susceptible to levofloxacin</w:t>
            </w:r>
          </w:p>
        </w:tc>
        <w:tc>
          <w:tcPr>
            <w:tcW w:w="1248" w:type="dxa"/>
            <w:tcBorders>
              <w:top w:val="nil"/>
              <w:left w:val="nil"/>
              <w:bottom w:val="nil"/>
              <w:right w:val="nil"/>
            </w:tcBorders>
            <w:shd w:val="clear" w:color="auto" w:fill="auto"/>
            <w:vAlign w:val="center"/>
          </w:tcPr>
          <w:p w14:paraId="4D51CD6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Cystic Fibrosis</w:t>
            </w:r>
          </w:p>
        </w:tc>
        <w:tc>
          <w:tcPr>
            <w:tcW w:w="1380" w:type="dxa"/>
            <w:tcBorders>
              <w:top w:val="nil"/>
              <w:left w:val="nil"/>
              <w:bottom w:val="nil"/>
              <w:right w:val="nil"/>
            </w:tcBorders>
            <w:shd w:val="clear" w:color="auto" w:fill="auto"/>
            <w:vAlign w:val="center"/>
          </w:tcPr>
          <w:p w14:paraId="0BBC4F3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Levofloxacin Inhalation Solution (MP-376)</w:t>
            </w:r>
          </w:p>
        </w:tc>
        <w:tc>
          <w:tcPr>
            <w:tcW w:w="2263" w:type="dxa"/>
            <w:tcBorders>
              <w:top w:val="nil"/>
              <w:left w:val="nil"/>
              <w:bottom w:val="nil"/>
              <w:right w:val="nil"/>
            </w:tcBorders>
            <w:shd w:val="clear" w:color="auto" w:fill="auto"/>
            <w:vAlign w:val="center"/>
          </w:tcPr>
          <w:p w14:paraId="27B3FD0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240 mg [2.4 ml] twice a day, was delivered with an investigationale Flow nebulizer, 28 days</w:t>
            </w:r>
          </w:p>
        </w:tc>
        <w:tc>
          <w:tcPr>
            <w:tcW w:w="1208" w:type="dxa"/>
            <w:tcBorders>
              <w:top w:val="nil"/>
              <w:left w:val="nil"/>
              <w:bottom w:val="nil"/>
              <w:right w:val="nil"/>
            </w:tcBorders>
            <w:shd w:val="clear" w:color="auto" w:fill="auto"/>
            <w:vAlign w:val="center"/>
          </w:tcPr>
          <w:p w14:paraId="2CC3693C">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Placebo</w:t>
            </w:r>
          </w:p>
        </w:tc>
        <w:tc>
          <w:tcPr>
            <w:tcW w:w="1731" w:type="dxa"/>
            <w:tcBorders>
              <w:top w:val="nil"/>
              <w:left w:val="nil"/>
              <w:bottom w:val="nil"/>
              <w:right w:val="nil"/>
            </w:tcBorders>
            <w:shd w:val="clear" w:color="auto" w:fill="auto"/>
            <w:vAlign w:val="center"/>
          </w:tcPr>
          <w:p w14:paraId="300CB6F2">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[2.4 ml] twice a day, was delivered with an investigationale Flow nebulizer</w:t>
            </w:r>
          </w:p>
        </w:tc>
      </w:tr>
      <w:tr w14:paraId="718D1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354" w:type="dxa"/>
            <w:tcBorders>
              <w:top w:val="nil"/>
              <w:left w:val="nil"/>
              <w:bottom w:val="nil"/>
              <w:right w:val="nil"/>
            </w:tcBorders>
            <w:shd w:val="clear" w:color="auto" w:fill="auto"/>
            <w:vAlign w:val="center"/>
          </w:tcPr>
          <w:p w14:paraId="282F35D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Flume 2015</w:t>
            </w:r>
          </w:p>
        </w:tc>
        <w:tc>
          <w:tcPr>
            <w:tcW w:w="1046" w:type="dxa"/>
            <w:tcBorders>
              <w:top w:val="nil"/>
              <w:left w:val="nil"/>
              <w:bottom w:val="nil"/>
              <w:right w:val="nil"/>
            </w:tcBorders>
            <w:shd w:val="clear" w:color="auto" w:fill="auto"/>
            <w:vAlign w:val="center"/>
          </w:tcPr>
          <w:p w14:paraId="34E448A8">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RCT</w:t>
            </w:r>
          </w:p>
        </w:tc>
        <w:tc>
          <w:tcPr>
            <w:tcW w:w="1408" w:type="dxa"/>
            <w:tcBorders>
              <w:top w:val="nil"/>
              <w:left w:val="nil"/>
              <w:bottom w:val="nil"/>
              <w:right w:val="nil"/>
            </w:tcBorders>
            <w:shd w:val="clear" w:color="auto" w:fill="auto"/>
            <w:vAlign w:val="center"/>
          </w:tcPr>
          <w:p w14:paraId="629D4D7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USA, Canada, Australia, New Zealand, and Israel</w:t>
            </w:r>
          </w:p>
        </w:tc>
        <w:tc>
          <w:tcPr>
            <w:tcW w:w="1058" w:type="dxa"/>
            <w:tcBorders>
              <w:top w:val="nil"/>
              <w:left w:val="nil"/>
              <w:bottom w:val="nil"/>
              <w:right w:val="nil"/>
            </w:tcBorders>
            <w:shd w:val="clear" w:color="auto" w:fill="auto"/>
            <w:vAlign w:val="center"/>
          </w:tcPr>
          <w:p w14:paraId="1F3CF78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220; C: 110</w:t>
            </w:r>
          </w:p>
        </w:tc>
        <w:tc>
          <w:tcPr>
            <w:tcW w:w="1380" w:type="dxa"/>
            <w:tcBorders>
              <w:top w:val="nil"/>
              <w:left w:val="nil"/>
              <w:bottom w:val="nil"/>
              <w:right w:val="nil"/>
            </w:tcBorders>
            <w:shd w:val="clear" w:color="auto" w:fill="auto"/>
            <w:vAlign w:val="center"/>
          </w:tcPr>
          <w:p w14:paraId="2F8C166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29.4 (10.3); C: 28.8 (10.9)</w:t>
            </w:r>
          </w:p>
        </w:tc>
        <w:tc>
          <w:tcPr>
            <w:tcW w:w="1611" w:type="dxa"/>
            <w:tcBorders>
              <w:top w:val="nil"/>
              <w:left w:val="nil"/>
              <w:bottom w:val="nil"/>
              <w:right w:val="nil"/>
            </w:tcBorders>
            <w:shd w:val="clear" w:color="auto" w:fill="auto"/>
            <w:vAlign w:val="center"/>
          </w:tcPr>
          <w:p w14:paraId="7FD1290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PA and Staphylococcus aureus were isolated in 96% and 51% of patients</w:t>
            </w:r>
          </w:p>
        </w:tc>
        <w:tc>
          <w:tcPr>
            <w:tcW w:w="1248" w:type="dxa"/>
            <w:tcBorders>
              <w:top w:val="nil"/>
              <w:left w:val="nil"/>
              <w:bottom w:val="nil"/>
              <w:right w:val="nil"/>
            </w:tcBorders>
            <w:shd w:val="clear" w:color="auto" w:fill="auto"/>
            <w:vAlign w:val="center"/>
          </w:tcPr>
          <w:p w14:paraId="1ABC290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Stable cystic fibrosis</w:t>
            </w:r>
          </w:p>
        </w:tc>
        <w:tc>
          <w:tcPr>
            <w:tcW w:w="1380" w:type="dxa"/>
            <w:tcBorders>
              <w:top w:val="nil"/>
              <w:left w:val="nil"/>
              <w:bottom w:val="nil"/>
              <w:right w:val="nil"/>
            </w:tcBorders>
            <w:shd w:val="clear" w:color="auto" w:fill="auto"/>
            <w:vAlign w:val="center"/>
          </w:tcPr>
          <w:p w14:paraId="5763EAD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levofloxacin inhalation solution (LIS (AP-1026))</w:t>
            </w:r>
          </w:p>
        </w:tc>
        <w:tc>
          <w:tcPr>
            <w:tcW w:w="2263" w:type="dxa"/>
            <w:tcBorders>
              <w:top w:val="nil"/>
              <w:left w:val="nil"/>
              <w:bottom w:val="nil"/>
              <w:right w:val="nil"/>
            </w:tcBorders>
            <w:shd w:val="clear" w:color="auto" w:fill="auto"/>
            <w:vAlign w:val="center"/>
          </w:tcPr>
          <w:p w14:paraId="68F2E87F">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LIS 240 mg (2.4 mL of a 100 mg/mL of levofloxacin as AP-1026) BID with a 28-day follow-up period off therapy</w:t>
            </w:r>
          </w:p>
        </w:tc>
        <w:tc>
          <w:tcPr>
            <w:tcW w:w="1208" w:type="dxa"/>
            <w:tcBorders>
              <w:top w:val="nil"/>
              <w:left w:val="nil"/>
              <w:bottom w:val="nil"/>
              <w:right w:val="nil"/>
            </w:tcBorders>
            <w:shd w:val="clear" w:color="auto" w:fill="auto"/>
            <w:vAlign w:val="center"/>
          </w:tcPr>
          <w:p w14:paraId="1C8E62E1">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Placebo</w:t>
            </w:r>
          </w:p>
        </w:tc>
        <w:tc>
          <w:tcPr>
            <w:tcW w:w="1731" w:type="dxa"/>
            <w:tcBorders>
              <w:top w:val="nil"/>
              <w:left w:val="nil"/>
              <w:bottom w:val="nil"/>
              <w:right w:val="nil"/>
            </w:tcBorders>
            <w:shd w:val="clear" w:color="auto" w:fill="auto"/>
            <w:vAlign w:val="center"/>
          </w:tcPr>
          <w:p w14:paraId="257B087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0.9% saline-based placebo (color matched with riboflavin), with a 28-day follow-up period off therapy</w:t>
            </w:r>
          </w:p>
        </w:tc>
      </w:tr>
      <w:tr w14:paraId="0ABDF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354" w:type="dxa"/>
            <w:tcBorders>
              <w:top w:val="nil"/>
              <w:left w:val="nil"/>
              <w:bottom w:val="nil"/>
              <w:right w:val="nil"/>
            </w:tcBorders>
            <w:shd w:val="clear" w:color="auto" w:fill="auto"/>
            <w:vAlign w:val="center"/>
          </w:tcPr>
          <w:p w14:paraId="61A0AD8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Haworth 2019</w:t>
            </w:r>
          </w:p>
        </w:tc>
        <w:tc>
          <w:tcPr>
            <w:tcW w:w="1046" w:type="dxa"/>
            <w:tcBorders>
              <w:top w:val="nil"/>
              <w:left w:val="nil"/>
              <w:bottom w:val="nil"/>
              <w:right w:val="nil"/>
            </w:tcBorders>
            <w:shd w:val="clear" w:color="auto" w:fill="auto"/>
            <w:vAlign w:val="center"/>
          </w:tcPr>
          <w:p w14:paraId="1D626F7A">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RCT</w:t>
            </w:r>
          </w:p>
        </w:tc>
        <w:tc>
          <w:tcPr>
            <w:tcW w:w="1408" w:type="dxa"/>
            <w:tcBorders>
              <w:top w:val="nil"/>
              <w:left w:val="nil"/>
              <w:bottom w:val="nil"/>
              <w:right w:val="nil"/>
            </w:tcBorders>
            <w:shd w:val="clear" w:color="auto" w:fill="auto"/>
            <w:vAlign w:val="center"/>
          </w:tcPr>
          <w:p w14:paraId="14FC866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Australia,Canada, France,Georgia,Germany, Hungary, Ireland, Israel, Italy, Latvia, New Zealand, Peru, Poland, Romania, Serbia, South Africa, South Korea, Spain, UK, and USA</w:t>
            </w:r>
          </w:p>
        </w:tc>
        <w:tc>
          <w:tcPr>
            <w:tcW w:w="1058" w:type="dxa"/>
            <w:tcBorders>
              <w:top w:val="nil"/>
              <w:left w:val="nil"/>
              <w:bottom w:val="nil"/>
              <w:right w:val="nil"/>
            </w:tcBorders>
            <w:shd w:val="clear" w:color="auto" w:fill="auto"/>
            <w:vAlign w:val="center"/>
          </w:tcPr>
          <w:p w14:paraId="1AE92586">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389; C: 193</w:t>
            </w:r>
          </w:p>
        </w:tc>
        <w:tc>
          <w:tcPr>
            <w:tcW w:w="1380" w:type="dxa"/>
            <w:tcBorders>
              <w:top w:val="nil"/>
              <w:left w:val="nil"/>
              <w:bottom w:val="nil"/>
              <w:right w:val="nil"/>
            </w:tcBorders>
            <w:shd w:val="clear" w:color="auto" w:fill="auto"/>
            <w:vAlign w:val="center"/>
          </w:tcPr>
          <w:p w14:paraId="21D72BC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63.8 (13.5); C:  65.5 (11.7)</w:t>
            </w:r>
          </w:p>
        </w:tc>
        <w:tc>
          <w:tcPr>
            <w:tcW w:w="1611" w:type="dxa"/>
            <w:tcBorders>
              <w:top w:val="nil"/>
              <w:left w:val="nil"/>
              <w:bottom w:val="nil"/>
              <w:right w:val="nil"/>
            </w:tcBorders>
            <w:shd w:val="clear" w:color="auto" w:fill="auto"/>
            <w:vAlign w:val="center"/>
          </w:tcPr>
          <w:p w14:paraId="1F8BD98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PA at least one isolate non-resistant to ciprofloxacin.  Non-pseudomonas pathogens (Staphylococcus aureus 81/45, Escherichia coli and other coliform species 20/8, Streptococcus pneumoniae 15/6, Haemophilus influenzae 12/5, Moraxella catarrhalis 2/0</w:t>
            </w:r>
          </w:p>
        </w:tc>
        <w:tc>
          <w:tcPr>
            <w:tcW w:w="1248" w:type="dxa"/>
            <w:tcBorders>
              <w:top w:val="nil"/>
              <w:left w:val="nil"/>
              <w:bottom w:val="nil"/>
              <w:right w:val="nil"/>
            </w:tcBorders>
            <w:shd w:val="clear" w:color="auto" w:fill="auto"/>
            <w:vAlign w:val="center"/>
          </w:tcPr>
          <w:p w14:paraId="72608B8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Non-cystic fibrosis bronchiectasis</w:t>
            </w:r>
          </w:p>
        </w:tc>
        <w:tc>
          <w:tcPr>
            <w:tcW w:w="1380" w:type="dxa"/>
            <w:tcBorders>
              <w:top w:val="nil"/>
              <w:left w:val="nil"/>
              <w:bottom w:val="nil"/>
              <w:right w:val="nil"/>
            </w:tcBorders>
            <w:shd w:val="clear" w:color="auto" w:fill="auto"/>
            <w:vAlign w:val="center"/>
          </w:tcPr>
          <w:p w14:paraId="49B0F6B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Inhaled liposomal ciprofloxacin(ARD-3150) </w:t>
            </w:r>
          </w:p>
        </w:tc>
        <w:tc>
          <w:tcPr>
            <w:tcW w:w="2263" w:type="dxa"/>
            <w:tcBorders>
              <w:top w:val="nil"/>
              <w:left w:val="nil"/>
              <w:bottom w:val="nil"/>
              <w:right w:val="nil"/>
            </w:tcBorders>
            <w:shd w:val="clear" w:color="auto" w:fill="auto"/>
            <w:vAlign w:val="center"/>
          </w:tcPr>
          <w:p w14:paraId="16FC6C80">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ARD-3150 (3 mL liposome encapsulated ciprofloxacin 135 mg and 3 mL free ciprofloxacin 54 mg;  6 mL total;  for six 56 day treatment cycles (each cycle consisting of a 28 day on-treatment period, followed by a 28 day off-treatment period), for 48 weeks.</w:t>
            </w:r>
          </w:p>
        </w:tc>
        <w:tc>
          <w:tcPr>
            <w:tcW w:w="1208" w:type="dxa"/>
            <w:tcBorders>
              <w:top w:val="nil"/>
              <w:left w:val="nil"/>
              <w:bottom w:val="nil"/>
              <w:right w:val="nil"/>
            </w:tcBorders>
            <w:shd w:val="clear" w:color="auto" w:fill="auto"/>
            <w:vAlign w:val="center"/>
          </w:tcPr>
          <w:p w14:paraId="2382A8CE">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Placebo</w:t>
            </w:r>
          </w:p>
        </w:tc>
        <w:tc>
          <w:tcPr>
            <w:tcW w:w="1731" w:type="dxa"/>
            <w:tcBorders>
              <w:top w:val="nil"/>
              <w:left w:val="nil"/>
              <w:bottom w:val="nil"/>
              <w:right w:val="nil"/>
            </w:tcBorders>
            <w:shd w:val="clear" w:color="auto" w:fill="auto"/>
            <w:vAlign w:val="center"/>
          </w:tcPr>
          <w:p w14:paraId="1E2DD4F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3 mL dilute empty liposomes mixed with 3 mL of saline) was self-administered once daily with a nebuliser for six 56 day treatment cycles (each cycle consisting of a 28 day on-treatment period, followed by a 28 day off-treatment period), for 48 weeks.</w:t>
            </w:r>
          </w:p>
        </w:tc>
      </w:tr>
      <w:tr w14:paraId="69067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354" w:type="dxa"/>
            <w:tcBorders>
              <w:top w:val="nil"/>
              <w:left w:val="nil"/>
              <w:bottom w:val="nil"/>
              <w:right w:val="nil"/>
            </w:tcBorders>
            <w:shd w:val="clear" w:color="auto" w:fill="auto"/>
            <w:vAlign w:val="center"/>
          </w:tcPr>
          <w:p w14:paraId="1EB80EE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Valerius 1991  </w:t>
            </w:r>
          </w:p>
        </w:tc>
        <w:tc>
          <w:tcPr>
            <w:tcW w:w="1046" w:type="dxa"/>
            <w:tcBorders>
              <w:top w:val="nil"/>
              <w:left w:val="nil"/>
              <w:bottom w:val="nil"/>
              <w:right w:val="nil"/>
            </w:tcBorders>
            <w:shd w:val="clear" w:color="auto" w:fill="auto"/>
            <w:vAlign w:val="center"/>
          </w:tcPr>
          <w:p w14:paraId="492E9BAC">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RCT</w:t>
            </w:r>
          </w:p>
        </w:tc>
        <w:tc>
          <w:tcPr>
            <w:tcW w:w="1408" w:type="dxa"/>
            <w:tcBorders>
              <w:top w:val="nil"/>
              <w:left w:val="nil"/>
              <w:bottom w:val="nil"/>
              <w:right w:val="nil"/>
            </w:tcBorders>
            <w:shd w:val="clear" w:color="auto" w:fill="auto"/>
            <w:vAlign w:val="center"/>
          </w:tcPr>
          <w:p w14:paraId="6769F05F">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Europe</w:t>
            </w:r>
          </w:p>
        </w:tc>
        <w:tc>
          <w:tcPr>
            <w:tcW w:w="1058" w:type="dxa"/>
            <w:tcBorders>
              <w:top w:val="nil"/>
              <w:left w:val="nil"/>
              <w:bottom w:val="nil"/>
              <w:right w:val="nil"/>
            </w:tcBorders>
            <w:shd w:val="clear" w:color="auto" w:fill="auto"/>
            <w:vAlign w:val="center"/>
          </w:tcPr>
          <w:p w14:paraId="332DD76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14; C: 12</w:t>
            </w:r>
          </w:p>
        </w:tc>
        <w:tc>
          <w:tcPr>
            <w:tcW w:w="1380" w:type="dxa"/>
            <w:tcBorders>
              <w:top w:val="nil"/>
              <w:left w:val="nil"/>
              <w:bottom w:val="nil"/>
              <w:right w:val="nil"/>
            </w:tcBorders>
            <w:shd w:val="clear" w:color="auto" w:fill="auto"/>
            <w:vAlign w:val="center"/>
          </w:tcPr>
          <w:p w14:paraId="6E7EE565">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2 - 9 </w:t>
            </w:r>
          </w:p>
        </w:tc>
        <w:tc>
          <w:tcPr>
            <w:tcW w:w="1611" w:type="dxa"/>
            <w:tcBorders>
              <w:top w:val="nil"/>
              <w:left w:val="nil"/>
              <w:bottom w:val="nil"/>
              <w:right w:val="nil"/>
            </w:tcBorders>
            <w:shd w:val="clear" w:color="auto" w:fill="auto"/>
            <w:vAlign w:val="center"/>
          </w:tcPr>
          <w:p w14:paraId="2519F80F">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PA</w:t>
            </w:r>
          </w:p>
        </w:tc>
        <w:tc>
          <w:tcPr>
            <w:tcW w:w="1248" w:type="dxa"/>
            <w:tcBorders>
              <w:top w:val="nil"/>
              <w:left w:val="nil"/>
              <w:bottom w:val="nil"/>
              <w:right w:val="nil"/>
            </w:tcBorders>
            <w:shd w:val="clear" w:color="auto" w:fill="auto"/>
            <w:vAlign w:val="center"/>
          </w:tcPr>
          <w:p w14:paraId="5B0A45F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NR</w:t>
            </w:r>
          </w:p>
        </w:tc>
        <w:tc>
          <w:tcPr>
            <w:tcW w:w="1380" w:type="dxa"/>
            <w:tcBorders>
              <w:top w:val="nil"/>
              <w:left w:val="nil"/>
              <w:bottom w:val="nil"/>
              <w:right w:val="nil"/>
            </w:tcBorders>
            <w:shd w:val="clear" w:color="auto" w:fill="auto"/>
            <w:vAlign w:val="center"/>
          </w:tcPr>
          <w:p w14:paraId="3B439C3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Oral ciprofloxacin+ inhaled colistin</w:t>
            </w:r>
          </w:p>
        </w:tc>
        <w:tc>
          <w:tcPr>
            <w:tcW w:w="2263" w:type="dxa"/>
            <w:tcBorders>
              <w:top w:val="nil"/>
              <w:left w:val="nil"/>
              <w:bottom w:val="nil"/>
              <w:right w:val="nil"/>
            </w:tcBorders>
            <w:shd w:val="clear" w:color="auto" w:fill="auto"/>
            <w:vAlign w:val="center"/>
          </w:tcPr>
          <w:p w14:paraId="47D431E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Oral ciprofloxacin (250 - 750 mg) 2x daily and inhaled colistin (1 MU) for 3 weeks at entry and each time P aeruginosa isolated.</w:t>
            </w:r>
          </w:p>
        </w:tc>
        <w:tc>
          <w:tcPr>
            <w:tcW w:w="1208" w:type="dxa"/>
            <w:tcBorders>
              <w:top w:val="nil"/>
              <w:left w:val="nil"/>
              <w:bottom w:val="nil"/>
              <w:right w:val="nil"/>
            </w:tcBorders>
            <w:shd w:val="clear" w:color="auto" w:fill="auto"/>
            <w:vAlign w:val="center"/>
          </w:tcPr>
          <w:p w14:paraId="30A6AAA1">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Placebo</w:t>
            </w:r>
          </w:p>
        </w:tc>
        <w:tc>
          <w:tcPr>
            <w:tcW w:w="1731" w:type="dxa"/>
            <w:tcBorders>
              <w:top w:val="nil"/>
              <w:left w:val="nil"/>
              <w:bottom w:val="nil"/>
              <w:right w:val="nil"/>
            </w:tcBorders>
            <w:shd w:val="clear" w:color="auto" w:fill="auto"/>
            <w:vAlign w:val="center"/>
          </w:tcPr>
          <w:p w14:paraId="0F1DAD2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No anti-pseudomonas chemotherapy</w:t>
            </w:r>
          </w:p>
        </w:tc>
      </w:tr>
      <w:tr w14:paraId="78650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354" w:type="dxa"/>
            <w:tcBorders>
              <w:top w:val="nil"/>
              <w:left w:val="nil"/>
              <w:bottom w:val="nil"/>
              <w:right w:val="nil"/>
            </w:tcBorders>
            <w:shd w:val="clear" w:color="auto" w:fill="auto"/>
            <w:vAlign w:val="center"/>
          </w:tcPr>
          <w:p w14:paraId="5DE4616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Wiesemann 1998</w:t>
            </w:r>
          </w:p>
        </w:tc>
        <w:tc>
          <w:tcPr>
            <w:tcW w:w="1046" w:type="dxa"/>
            <w:tcBorders>
              <w:top w:val="nil"/>
              <w:left w:val="nil"/>
              <w:bottom w:val="nil"/>
              <w:right w:val="nil"/>
            </w:tcBorders>
            <w:shd w:val="clear" w:color="auto" w:fill="auto"/>
            <w:vAlign w:val="center"/>
          </w:tcPr>
          <w:p w14:paraId="40B772E8">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RCT</w:t>
            </w:r>
          </w:p>
        </w:tc>
        <w:tc>
          <w:tcPr>
            <w:tcW w:w="1408" w:type="dxa"/>
            <w:tcBorders>
              <w:top w:val="nil"/>
              <w:left w:val="nil"/>
              <w:bottom w:val="nil"/>
              <w:right w:val="nil"/>
            </w:tcBorders>
            <w:shd w:val="clear" w:color="auto" w:fill="auto"/>
            <w:vAlign w:val="center"/>
          </w:tcPr>
          <w:p w14:paraId="2071C27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Europe</w:t>
            </w:r>
          </w:p>
        </w:tc>
        <w:tc>
          <w:tcPr>
            <w:tcW w:w="1058" w:type="dxa"/>
            <w:tcBorders>
              <w:top w:val="nil"/>
              <w:left w:val="nil"/>
              <w:bottom w:val="nil"/>
              <w:right w:val="nil"/>
            </w:tcBorders>
            <w:shd w:val="clear" w:color="auto" w:fill="auto"/>
            <w:vAlign w:val="center"/>
          </w:tcPr>
          <w:p w14:paraId="320BA9D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9; C: 9</w:t>
            </w:r>
          </w:p>
        </w:tc>
        <w:tc>
          <w:tcPr>
            <w:tcW w:w="1380" w:type="dxa"/>
            <w:tcBorders>
              <w:top w:val="nil"/>
              <w:left w:val="nil"/>
              <w:bottom w:val="nil"/>
              <w:right w:val="nil"/>
            </w:tcBorders>
            <w:shd w:val="clear" w:color="auto" w:fill="auto"/>
            <w:vAlign w:val="center"/>
          </w:tcPr>
          <w:p w14:paraId="54D818C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4-18</w:t>
            </w:r>
          </w:p>
        </w:tc>
        <w:tc>
          <w:tcPr>
            <w:tcW w:w="1611" w:type="dxa"/>
            <w:tcBorders>
              <w:top w:val="nil"/>
              <w:left w:val="nil"/>
              <w:bottom w:val="nil"/>
              <w:right w:val="nil"/>
            </w:tcBorders>
            <w:shd w:val="clear" w:color="auto" w:fill="auto"/>
            <w:vAlign w:val="center"/>
          </w:tcPr>
          <w:p w14:paraId="1F520F7F">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PA</w:t>
            </w:r>
          </w:p>
        </w:tc>
        <w:tc>
          <w:tcPr>
            <w:tcW w:w="1248" w:type="dxa"/>
            <w:tcBorders>
              <w:top w:val="nil"/>
              <w:left w:val="nil"/>
              <w:bottom w:val="nil"/>
              <w:right w:val="nil"/>
            </w:tcBorders>
            <w:shd w:val="clear" w:color="auto" w:fill="auto"/>
            <w:vAlign w:val="center"/>
          </w:tcPr>
          <w:p w14:paraId="417048A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NR</w:t>
            </w:r>
          </w:p>
        </w:tc>
        <w:tc>
          <w:tcPr>
            <w:tcW w:w="1380" w:type="dxa"/>
            <w:tcBorders>
              <w:top w:val="nil"/>
              <w:left w:val="nil"/>
              <w:bottom w:val="nil"/>
              <w:right w:val="nil"/>
            </w:tcBorders>
            <w:shd w:val="clear" w:color="auto" w:fill="auto"/>
            <w:vAlign w:val="center"/>
          </w:tcPr>
          <w:p w14:paraId="5339513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Tobramycin</w:t>
            </w:r>
          </w:p>
        </w:tc>
        <w:tc>
          <w:tcPr>
            <w:tcW w:w="2263" w:type="dxa"/>
            <w:tcBorders>
              <w:top w:val="nil"/>
              <w:left w:val="nil"/>
              <w:bottom w:val="nil"/>
              <w:right w:val="nil"/>
            </w:tcBorders>
            <w:shd w:val="clear" w:color="auto" w:fill="auto"/>
            <w:vAlign w:val="center"/>
          </w:tcPr>
          <w:p w14:paraId="213ED8B0">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Nebulised tobramycin 80 mg inhaled 2x daily.</w:t>
            </w:r>
          </w:p>
        </w:tc>
        <w:tc>
          <w:tcPr>
            <w:tcW w:w="1208" w:type="dxa"/>
            <w:tcBorders>
              <w:top w:val="nil"/>
              <w:left w:val="nil"/>
              <w:bottom w:val="nil"/>
              <w:right w:val="nil"/>
            </w:tcBorders>
            <w:shd w:val="clear" w:color="auto" w:fill="auto"/>
            <w:vAlign w:val="center"/>
          </w:tcPr>
          <w:p w14:paraId="7FC38A4F">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Placebo</w:t>
            </w:r>
          </w:p>
        </w:tc>
        <w:tc>
          <w:tcPr>
            <w:tcW w:w="1731" w:type="dxa"/>
            <w:tcBorders>
              <w:top w:val="nil"/>
              <w:left w:val="nil"/>
              <w:bottom w:val="nil"/>
              <w:right w:val="nil"/>
            </w:tcBorders>
            <w:shd w:val="clear" w:color="auto" w:fill="auto"/>
            <w:vAlign w:val="center"/>
          </w:tcPr>
          <w:p w14:paraId="3E6696B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Inhaled placebo.</w:t>
            </w:r>
          </w:p>
        </w:tc>
      </w:tr>
      <w:tr w14:paraId="4CB6C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354" w:type="dxa"/>
            <w:tcBorders>
              <w:top w:val="nil"/>
              <w:left w:val="nil"/>
              <w:bottom w:val="nil"/>
              <w:right w:val="nil"/>
            </w:tcBorders>
            <w:shd w:val="clear" w:color="auto" w:fill="auto"/>
            <w:vAlign w:val="center"/>
          </w:tcPr>
          <w:p w14:paraId="7375686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Gibson 2003</w:t>
            </w:r>
          </w:p>
        </w:tc>
        <w:tc>
          <w:tcPr>
            <w:tcW w:w="1046" w:type="dxa"/>
            <w:tcBorders>
              <w:top w:val="nil"/>
              <w:left w:val="nil"/>
              <w:bottom w:val="nil"/>
              <w:right w:val="nil"/>
            </w:tcBorders>
            <w:shd w:val="clear" w:color="auto" w:fill="auto"/>
            <w:vAlign w:val="center"/>
          </w:tcPr>
          <w:p w14:paraId="49208178">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RCT</w:t>
            </w:r>
          </w:p>
        </w:tc>
        <w:tc>
          <w:tcPr>
            <w:tcW w:w="1408" w:type="dxa"/>
            <w:tcBorders>
              <w:top w:val="nil"/>
              <w:left w:val="nil"/>
              <w:bottom w:val="nil"/>
              <w:right w:val="nil"/>
            </w:tcBorders>
            <w:shd w:val="clear" w:color="auto" w:fill="auto"/>
            <w:vAlign w:val="center"/>
          </w:tcPr>
          <w:p w14:paraId="74CCDFE0">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USA</w:t>
            </w:r>
          </w:p>
        </w:tc>
        <w:tc>
          <w:tcPr>
            <w:tcW w:w="1058" w:type="dxa"/>
            <w:tcBorders>
              <w:top w:val="nil"/>
              <w:left w:val="nil"/>
              <w:bottom w:val="nil"/>
              <w:right w:val="nil"/>
            </w:tcBorders>
            <w:shd w:val="clear" w:color="auto" w:fill="auto"/>
            <w:vAlign w:val="center"/>
          </w:tcPr>
          <w:p w14:paraId="13D2AB1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8; C: 13</w:t>
            </w:r>
          </w:p>
        </w:tc>
        <w:tc>
          <w:tcPr>
            <w:tcW w:w="1380" w:type="dxa"/>
            <w:tcBorders>
              <w:top w:val="nil"/>
              <w:left w:val="nil"/>
              <w:bottom w:val="nil"/>
              <w:right w:val="nil"/>
            </w:tcBorders>
            <w:shd w:val="clear" w:color="auto" w:fill="auto"/>
            <w:vAlign w:val="center"/>
          </w:tcPr>
          <w:p w14:paraId="490C5C8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Style w:val="51"/>
                <w:rFonts w:hint="default" w:ascii="Times New Roman" w:hAnsi="Times New Roman" w:eastAsia="宋体" w:cs="Times New Roman"/>
                <w:sz w:val="18"/>
                <w:szCs w:val="18"/>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14:ligatures w14:val="none"/>
              </w:rPr>
              <w:t>6 months and &lt;6 years</w:t>
            </w:r>
          </w:p>
        </w:tc>
        <w:tc>
          <w:tcPr>
            <w:tcW w:w="1611" w:type="dxa"/>
            <w:tcBorders>
              <w:top w:val="nil"/>
              <w:left w:val="nil"/>
              <w:bottom w:val="nil"/>
              <w:right w:val="nil"/>
            </w:tcBorders>
            <w:shd w:val="clear" w:color="auto" w:fill="auto"/>
            <w:vAlign w:val="center"/>
          </w:tcPr>
          <w:p w14:paraId="5C7CF08D">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PA</w:t>
            </w:r>
          </w:p>
        </w:tc>
        <w:tc>
          <w:tcPr>
            <w:tcW w:w="1248" w:type="dxa"/>
            <w:tcBorders>
              <w:top w:val="nil"/>
              <w:left w:val="nil"/>
              <w:bottom w:val="nil"/>
              <w:right w:val="nil"/>
            </w:tcBorders>
            <w:shd w:val="clear" w:color="auto" w:fill="auto"/>
            <w:vAlign w:val="center"/>
          </w:tcPr>
          <w:p w14:paraId="4AF195A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Cystic Fibrosis</w:t>
            </w:r>
          </w:p>
        </w:tc>
        <w:tc>
          <w:tcPr>
            <w:tcW w:w="1380" w:type="dxa"/>
            <w:tcBorders>
              <w:top w:val="nil"/>
              <w:left w:val="nil"/>
              <w:bottom w:val="nil"/>
              <w:right w:val="nil"/>
            </w:tcBorders>
            <w:shd w:val="clear" w:color="auto" w:fill="auto"/>
            <w:vAlign w:val="center"/>
          </w:tcPr>
          <w:p w14:paraId="530777B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Tobramycin</w:t>
            </w:r>
          </w:p>
        </w:tc>
        <w:tc>
          <w:tcPr>
            <w:tcW w:w="2263" w:type="dxa"/>
            <w:tcBorders>
              <w:top w:val="nil"/>
              <w:left w:val="nil"/>
              <w:bottom w:val="nil"/>
              <w:right w:val="nil"/>
            </w:tcBorders>
            <w:shd w:val="clear" w:color="auto" w:fill="auto"/>
            <w:vAlign w:val="center"/>
          </w:tcPr>
          <w:p w14:paraId="2D731C2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Inhaled 300 mg twice daily, for 28 days.</w:t>
            </w:r>
          </w:p>
        </w:tc>
        <w:tc>
          <w:tcPr>
            <w:tcW w:w="1208" w:type="dxa"/>
            <w:tcBorders>
              <w:top w:val="nil"/>
              <w:left w:val="nil"/>
              <w:bottom w:val="nil"/>
              <w:right w:val="nil"/>
            </w:tcBorders>
            <w:shd w:val="clear" w:color="auto" w:fill="auto"/>
            <w:vAlign w:val="center"/>
          </w:tcPr>
          <w:p w14:paraId="3C1F58AF">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Placebo</w:t>
            </w:r>
          </w:p>
        </w:tc>
        <w:tc>
          <w:tcPr>
            <w:tcW w:w="1731" w:type="dxa"/>
            <w:tcBorders>
              <w:top w:val="nil"/>
              <w:left w:val="nil"/>
              <w:bottom w:val="nil"/>
              <w:right w:val="nil"/>
            </w:tcBorders>
            <w:shd w:val="clear" w:color="auto" w:fill="auto"/>
            <w:vAlign w:val="center"/>
          </w:tcPr>
          <w:p w14:paraId="56AE112D">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Twice daily for 28 days</w:t>
            </w:r>
          </w:p>
        </w:tc>
      </w:tr>
      <w:tr w14:paraId="36B91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354" w:type="dxa"/>
            <w:tcBorders>
              <w:top w:val="nil"/>
              <w:left w:val="nil"/>
              <w:bottom w:val="single" w:color="000000" w:sz="12" w:space="0"/>
              <w:right w:val="nil"/>
            </w:tcBorders>
            <w:shd w:val="clear" w:color="auto" w:fill="auto"/>
            <w:vAlign w:val="center"/>
          </w:tcPr>
          <w:p w14:paraId="3B9E700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Guan 2022</w:t>
            </w:r>
          </w:p>
        </w:tc>
        <w:tc>
          <w:tcPr>
            <w:tcW w:w="1046" w:type="dxa"/>
            <w:tcBorders>
              <w:top w:val="nil"/>
              <w:left w:val="nil"/>
              <w:bottom w:val="single" w:color="000000" w:sz="12" w:space="0"/>
              <w:right w:val="nil"/>
            </w:tcBorders>
            <w:shd w:val="clear" w:color="auto" w:fill="auto"/>
            <w:vAlign w:val="center"/>
          </w:tcPr>
          <w:p w14:paraId="7EF56842">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RCT</w:t>
            </w:r>
          </w:p>
        </w:tc>
        <w:tc>
          <w:tcPr>
            <w:tcW w:w="1408" w:type="dxa"/>
            <w:tcBorders>
              <w:top w:val="nil"/>
              <w:left w:val="nil"/>
              <w:bottom w:val="single" w:color="000000" w:sz="12" w:space="0"/>
              <w:right w:val="nil"/>
            </w:tcBorders>
            <w:shd w:val="clear" w:color="auto" w:fill="auto"/>
            <w:vAlign w:val="center"/>
          </w:tcPr>
          <w:p w14:paraId="1612EF06">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China</w:t>
            </w:r>
          </w:p>
        </w:tc>
        <w:tc>
          <w:tcPr>
            <w:tcW w:w="1058" w:type="dxa"/>
            <w:tcBorders>
              <w:top w:val="nil"/>
              <w:left w:val="nil"/>
              <w:bottom w:val="single" w:color="000000" w:sz="12" w:space="0"/>
              <w:right w:val="nil"/>
            </w:tcBorders>
            <w:shd w:val="clear" w:color="auto" w:fill="auto"/>
            <w:vAlign w:val="center"/>
          </w:tcPr>
          <w:p w14:paraId="6D1E908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167; C: 172</w:t>
            </w:r>
          </w:p>
        </w:tc>
        <w:tc>
          <w:tcPr>
            <w:tcW w:w="1380" w:type="dxa"/>
            <w:tcBorders>
              <w:top w:val="nil"/>
              <w:left w:val="nil"/>
              <w:bottom w:val="single" w:color="000000" w:sz="12" w:space="0"/>
              <w:right w:val="nil"/>
            </w:tcBorders>
            <w:shd w:val="clear" w:color="auto" w:fill="auto"/>
            <w:vAlign w:val="center"/>
          </w:tcPr>
          <w:p w14:paraId="29A42072">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53.0 (13.0); C:  54.0 (12.0)</w:t>
            </w:r>
          </w:p>
        </w:tc>
        <w:tc>
          <w:tcPr>
            <w:tcW w:w="1611" w:type="dxa"/>
            <w:tcBorders>
              <w:top w:val="nil"/>
              <w:left w:val="nil"/>
              <w:bottom w:val="single" w:color="000000" w:sz="12" w:space="0"/>
              <w:right w:val="nil"/>
            </w:tcBorders>
            <w:shd w:val="clear" w:color="auto" w:fill="auto"/>
            <w:vAlign w:val="center"/>
          </w:tcPr>
          <w:p w14:paraId="3AC89A1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PA</w:t>
            </w:r>
          </w:p>
        </w:tc>
        <w:tc>
          <w:tcPr>
            <w:tcW w:w="1248" w:type="dxa"/>
            <w:tcBorders>
              <w:top w:val="nil"/>
              <w:left w:val="nil"/>
              <w:bottom w:val="single" w:color="000000" w:sz="12" w:space="0"/>
              <w:right w:val="nil"/>
            </w:tcBorders>
            <w:shd w:val="clear" w:color="auto" w:fill="auto"/>
            <w:vAlign w:val="center"/>
          </w:tcPr>
          <w:p w14:paraId="656A7F8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Bronchiectasis</w:t>
            </w:r>
          </w:p>
        </w:tc>
        <w:tc>
          <w:tcPr>
            <w:tcW w:w="1380" w:type="dxa"/>
            <w:tcBorders>
              <w:top w:val="nil"/>
              <w:left w:val="nil"/>
              <w:bottom w:val="single" w:color="000000" w:sz="12" w:space="0"/>
              <w:right w:val="nil"/>
            </w:tcBorders>
            <w:shd w:val="clear" w:color="auto" w:fill="auto"/>
            <w:vAlign w:val="center"/>
          </w:tcPr>
          <w:p w14:paraId="785EF985">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Tobramycin inhalation solution (TIS)</w:t>
            </w:r>
          </w:p>
        </w:tc>
        <w:tc>
          <w:tcPr>
            <w:tcW w:w="2263" w:type="dxa"/>
            <w:tcBorders>
              <w:top w:val="nil"/>
              <w:left w:val="nil"/>
              <w:bottom w:val="single" w:color="000000" w:sz="12" w:space="0"/>
              <w:right w:val="nil"/>
            </w:tcBorders>
            <w:shd w:val="clear" w:color="auto" w:fill="auto"/>
            <w:vAlign w:val="center"/>
          </w:tcPr>
          <w:p w14:paraId="7E156B4F">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Nebulize TIS: 300 mg twice daily, delivered via a vibrating-mesh nebulizer</w:t>
            </w:r>
          </w:p>
        </w:tc>
        <w:tc>
          <w:tcPr>
            <w:tcW w:w="1208" w:type="dxa"/>
            <w:tcBorders>
              <w:top w:val="nil"/>
              <w:left w:val="nil"/>
              <w:bottom w:val="single" w:color="000000" w:sz="12" w:space="0"/>
              <w:right w:val="nil"/>
            </w:tcBorders>
            <w:shd w:val="clear" w:color="auto" w:fill="auto"/>
            <w:vAlign w:val="center"/>
          </w:tcPr>
          <w:p w14:paraId="3621154A">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Placebo</w:t>
            </w:r>
          </w:p>
        </w:tc>
        <w:tc>
          <w:tcPr>
            <w:tcW w:w="1731" w:type="dxa"/>
            <w:tcBorders>
              <w:top w:val="nil"/>
              <w:left w:val="nil"/>
              <w:bottom w:val="single" w:color="000000" w:sz="12" w:space="0"/>
              <w:right w:val="nil"/>
            </w:tcBorders>
            <w:shd w:val="clear" w:color="auto" w:fill="auto"/>
            <w:vAlign w:val="center"/>
          </w:tcPr>
          <w:p w14:paraId="707CE6B0">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Normal saline: 5 ml twice daily, delivered via a vibrating-mesh nebulizer</w:t>
            </w:r>
          </w:p>
        </w:tc>
      </w:tr>
      <w:tr w14:paraId="33434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687" w:type="dxa"/>
            <w:gridSpan w:val="11"/>
            <w:tcBorders>
              <w:top w:val="nil"/>
              <w:left w:val="nil"/>
              <w:bottom w:val="nil"/>
              <w:right w:val="nil"/>
            </w:tcBorders>
            <w:shd w:val="clear" w:color="auto" w:fill="auto"/>
            <w:vAlign w:val="center"/>
          </w:tcPr>
          <w:p w14:paraId="5077B91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Intervention; C: Comparison； PA: Pseudomonas aeruginosa; NR: not reported</w:t>
            </w:r>
          </w:p>
        </w:tc>
      </w:tr>
    </w:tbl>
    <w:p w14:paraId="514DDFE5">
      <w:pPr>
        <w:pStyle w:val="39"/>
        <w:rPr>
          <w:rFonts w:hint="eastAsia"/>
        </w:rPr>
      </w:pPr>
    </w:p>
    <w:p w14:paraId="4511274B">
      <w:pPr>
        <w:pStyle w:val="39"/>
        <w:rPr>
          <w:rFonts w:hint="eastAsia"/>
        </w:rPr>
      </w:pPr>
      <w:r>
        <w:rPr>
          <w:rFonts w:hint="eastAsia"/>
        </w:rPr>
        <w:t>附表</w:t>
      </w:r>
      <w:r>
        <w:rPr>
          <w:rFonts w:hint="eastAsia"/>
          <w:lang w:val="en-US" w:eastAsia="zh-CN"/>
        </w:rPr>
        <w:t>7</w:t>
      </w:r>
      <w:r>
        <w:rPr>
          <w:rFonts w:hint="eastAsia"/>
        </w:rPr>
        <w:t>.临床问题</w:t>
      </w:r>
      <w:r>
        <w:rPr>
          <w:rFonts w:hint="eastAsia"/>
          <w:lang w:val="en-US" w:eastAsia="zh-CN"/>
        </w:rPr>
        <w:t>7</w:t>
      </w:r>
      <w:r>
        <w:rPr>
          <w:rFonts w:hint="eastAsia"/>
        </w:rPr>
        <w:t>纳入文献基线特征表</w:t>
      </w:r>
    </w:p>
    <w:tbl>
      <w:tblPr>
        <w:tblStyle w:val="15"/>
        <w:tblW w:w="157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3"/>
        <w:gridCol w:w="976"/>
        <w:gridCol w:w="1057"/>
        <w:gridCol w:w="1009"/>
        <w:gridCol w:w="719"/>
        <w:gridCol w:w="2339"/>
        <w:gridCol w:w="1241"/>
        <w:gridCol w:w="670"/>
        <w:gridCol w:w="2347"/>
        <w:gridCol w:w="1421"/>
        <w:gridCol w:w="3160"/>
      </w:tblGrid>
      <w:tr w14:paraId="1529A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783" w:type="dxa"/>
            <w:tcBorders>
              <w:top w:val="single" w:color="000000" w:sz="8" w:space="0"/>
              <w:left w:val="nil"/>
              <w:bottom w:val="single" w:color="000000" w:sz="8" w:space="0"/>
              <w:right w:val="nil"/>
            </w:tcBorders>
            <w:shd w:val="clear" w:color="auto" w:fill="auto"/>
            <w:vAlign w:val="center"/>
          </w:tcPr>
          <w:p w14:paraId="67048C31">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Study ID</w:t>
            </w:r>
          </w:p>
        </w:tc>
        <w:tc>
          <w:tcPr>
            <w:tcW w:w="976" w:type="dxa"/>
            <w:tcBorders>
              <w:top w:val="single" w:color="000000" w:sz="8" w:space="0"/>
              <w:left w:val="nil"/>
              <w:bottom w:val="single" w:color="000000" w:sz="8" w:space="0"/>
              <w:right w:val="nil"/>
            </w:tcBorders>
            <w:shd w:val="clear" w:color="auto" w:fill="auto"/>
            <w:vAlign w:val="center"/>
          </w:tcPr>
          <w:p w14:paraId="63596C25">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Study Design</w:t>
            </w:r>
          </w:p>
        </w:tc>
        <w:tc>
          <w:tcPr>
            <w:tcW w:w="1057" w:type="dxa"/>
            <w:tcBorders>
              <w:top w:val="single" w:color="000000" w:sz="8" w:space="0"/>
              <w:left w:val="nil"/>
              <w:bottom w:val="single" w:color="000000" w:sz="8" w:space="0"/>
              <w:right w:val="nil"/>
            </w:tcBorders>
            <w:shd w:val="clear" w:color="auto" w:fill="auto"/>
            <w:vAlign w:val="center"/>
          </w:tcPr>
          <w:p w14:paraId="3FCAF1EB">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Country</w:t>
            </w:r>
          </w:p>
        </w:tc>
        <w:tc>
          <w:tcPr>
            <w:tcW w:w="1009" w:type="dxa"/>
            <w:tcBorders>
              <w:top w:val="single" w:color="000000" w:sz="8" w:space="0"/>
              <w:left w:val="nil"/>
              <w:bottom w:val="single" w:color="000000" w:sz="8" w:space="0"/>
              <w:right w:val="nil"/>
            </w:tcBorders>
            <w:shd w:val="clear" w:color="auto" w:fill="auto"/>
            <w:vAlign w:val="center"/>
          </w:tcPr>
          <w:p w14:paraId="4E43177C">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Sample Size</w:t>
            </w:r>
          </w:p>
        </w:tc>
        <w:tc>
          <w:tcPr>
            <w:tcW w:w="719" w:type="dxa"/>
            <w:tcBorders>
              <w:top w:val="single" w:color="000000" w:sz="8" w:space="0"/>
              <w:left w:val="nil"/>
              <w:bottom w:val="single" w:color="000000" w:sz="8" w:space="0"/>
              <w:right w:val="nil"/>
            </w:tcBorders>
            <w:shd w:val="clear" w:color="auto" w:fill="auto"/>
            <w:vAlign w:val="center"/>
          </w:tcPr>
          <w:p w14:paraId="766007D9">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Age/year</w:t>
            </w:r>
          </w:p>
        </w:tc>
        <w:tc>
          <w:tcPr>
            <w:tcW w:w="2339" w:type="dxa"/>
            <w:tcBorders>
              <w:top w:val="single" w:color="000000" w:sz="8" w:space="0"/>
              <w:left w:val="nil"/>
              <w:bottom w:val="single" w:color="000000" w:sz="8" w:space="0"/>
              <w:right w:val="nil"/>
            </w:tcBorders>
            <w:shd w:val="clear" w:color="auto" w:fill="auto"/>
            <w:vAlign w:val="center"/>
          </w:tcPr>
          <w:p w14:paraId="6DF94517">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Pathogenic Bacteria</w:t>
            </w:r>
          </w:p>
        </w:tc>
        <w:tc>
          <w:tcPr>
            <w:tcW w:w="1241" w:type="dxa"/>
            <w:tcBorders>
              <w:top w:val="single" w:color="000000" w:sz="8" w:space="0"/>
              <w:left w:val="nil"/>
              <w:bottom w:val="single" w:color="000000" w:sz="8" w:space="0"/>
              <w:right w:val="nil"/>
            </w:tcBorders>
            <w:shd w:val="clear" w:color="auto" w:fill="auto"/>
            <w:vAlign w:val="center"/>
          </w:tcPr>
          <w:p w14:paraId="74C09462">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Infected Site</w:t>
            </w:r>
          </w:p>
        </w:tc>
        <w:tc>
          <w:tcPr>
            <w:tcW w:w="670" w:type="dxa"/>
            <w:tcBorders>
              <w:top w:val="single" w:color="000000" w:sz="8" w:space="0"/>
              <w:left w:val="nil"/>
              <w:bottom w:val="single" w:color="000000" w:sz="8" w:space="0"/>
              <w:right w:val="nil"/>
            </w:tcBorders>
            <w:shd w:val="clear" w:color="auto" w:fill="auto"/>
            <w:vAlign w:val="center"/>
          </w:tcPr>
          <w:p w14:paraId="7DC475FB">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Intervention</w:t>
            </w:r>
          </w:p>
        </w:tc>
        <w:tc>
          <w:tcPr>
            <w:tcW w:w="2347" w:type="dxa"/>
            <w:tcBorders>
              <w:top w:val="single" w:color="000000" w:sz="8" w:space="0"/>
              <w:left w:val="nil"/>
              <w:bottom w:val="single" w:color="000000" w:sz="8" w:space="0"/>
              <w:right w:val="nil"/>
            </w:tcBorders>
            <w:shd w:val="clear" w:color="auto" w:fill="auto"/>
            <w:vAlign w:val="center"/>
          </w:tcPr>
          <w:p w14:paraId="5C944696">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Intervention: Dosage, Frequency, Duration</w:t>
            </w:r>
          </w:p>
        </w:tc>
        <w:tc>
          <w:tcPr>
            <w:tcW w:w="1421" w:type="dxa"/>
            <w:tcBorders>
              <w:top w:val="single" w:color="000000" w:sz="8" w:space="0"/>
              <w:left w:val="nil"/>
              <w:bottom w:val="single" w:color="000000" w:sz="8" w:space="0"/>
              <w:right w:val="nil"/>
            </w:tcBorders>
            <w:shd w:val="clear" w:color="auto" w:fill="auto"/>
            <w:vAlign w:val="center"/>
          </w:tcPr>
          <w:p w14:paraId="24D6E1E2">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Comparator</w:t>
            </w:r>
          </w:p>
        </w:tc>
        <w:tc>
          <w:tcPr>
            <w:tcW w:w="3160" w:type="dxa"/>
            <w:tcBorders>
              <w:top w:val="single" w:color="000000" w:sz="8" w:space="0"/>
              <w:left w:val="nil"/>
              <w:bottom w:val="single" w:color="000000" w:sz="8" w:space="0"/>
              <w:right w:val="nil"/>
            </w:tcBorders>
            <w:shd w:val="clear" w:color="auto" w:fill="auto"/>
            <w:vAlign w:val="center"/>
          </w:tcPr>
          <w:p w14:paraId="095D2A37">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Comparator: Dosage, Frequency, Duration</w:t>
            </w:r>
          </w:p>
        </w:tc>
      </w:tr>
      <w:tr w14:paraId="348AF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83" w:type="dxa"/>
            <w:tcBorders>
              <w:top w:val="single" w:color="000000" w:sz="8" w:space="0"/>
              <w:left w:val="nil"/>
              <w:bottom w:val="nil"/>
              <w:right w:val="nil"/>
            </w:tcBorders>
            <w:shd w:val="clear" w:color="auto" w:fill="auto"/>
            <w:vAlign w:val="center"/>
          </w:tcPr>
          <w:p w14:paraId="2C3DD26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Saiman 2003</w:t>
            </w:r>
          </w:p>
        </w:tc>
        <w:tc>
          <w:tcPr>
            <w:tcW w:w="976" w:type="dxa"/>
            <w:tcBorders>
              <w:top w:val="single" w:color="000000" w:sz="8" w:space="0"/>
              <w:left w:val="nil"/>
              <w:bottom w:val="nil"/>
              <w:right w:val="nil"/>
            </w:tcBorders>
            <w:shd w:val="clear" w:color="auto" w:fill="auto"/>
            <w:vAlign w:val="center"/>
          </w:tcPr>
          <w:p w14:paraId="054F2F6E">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RCT</w:t>
            </w:r>
          </w:p>
        </w:tc>
        <w:tc>
          <w:tcPr>
            <w:tcW w:w="1057" w:type="dxa"/>
            <w:tcBorders>
              <w:top w:val="single" w:color="000000" w:sz="8" w:space="0"/>
              <w:left w:val="nil"/>
              <w:bottom w:val="nil"/>
              <w:right w:val="nil"/>
            </w:tcBorders>
            <w:shd w:val="clear" w:color="auto" w:fill="auto"/>
            <w:vAlign w:val="center"/>
          </w:tcPr>
          <w:p w14:paraId="5427D422">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USA</w:t>
            </w:r>
          </w:p>
        </w:tc>
        <w:tc>
          <w:tcPr>
            <w:tcW w:w="1009" w:type="dxa"/>
            <w:tcBorders>
              <w:top w:val="single" w:color="000000" w:sz="8" w:space="0"/>
              <w:left w:val="nil"/>
              <w:bottom w:val="nil"/>
              <w:right w:val="nil"/>
            </w:tcBorders>
            <w:shd w:val="clear" w:color="auto" w:fill="auto"/>
            <w:vAlign w:val="center"/>
          </w:tcPr>
          <w:p w14:paraId="41CBE062">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87; C: 98</w:t>
            </w:r>
          </w:p>
        </w:tc>
        <w:tc>
          <w:tcPr>
            <w:tcW w:w="719" w:type="dxa"/>
            <w:tcBorders>
              <w:top w:val="single" w:color="000000" w:sz="8" w:space="0"/>
              <w:left w:val="nil"/>
              <w:bottom w:val="nil"/>
              <w:right w:val="nil"/>
            </w:tcBorders>
            <w:shd w:val="clear" w:color="auto" w:fill="auto"/>
            <w:vAlign w:val="center"/>
          </w:tcPr>
          <w:p w14:paraId="7F06275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20.2 (7.9); C: 20.6(8.6)</w:t>
            </w:r>
          </w:p>
        </w:tc>
        <w:tc>
          <w:tcPr>
            <w:tcW w:w="2339" w:type="dxa"/>
            <w:tcBorders>
              <w:top w:val="single" w:color="000000" w:sz="8" w:space="0"/>
              <w:left w:val="nil"/>
              <w:bottom w:val="nil"/>
              <w:right w:val="nil"/>
            </w:tcBorders>
            <w:shd w:val="clear" w:color="auto" w:fill="auto"/>
            <w:vAlign w:val="center"/>
          </w:tcPr>
          <w:p w14:paraId="62454850">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PA</w:t>
            </w:r>
          </w:p>
        </w:tc>
        <w:tc>
          <w:tcPr>
            <w:tcW w:w="1241" w:type="dxa"/>
            <w:tcBorders>
              <w:top w:val="single" w:color="000000" w:sz="8" w:space="0"/>
              <w:left w:val="nil"/>
              <w:bottom w:val="nil"/>
              <w:right w:val="nil"/>
            </w:tcBorders>
            <w:shd w:val="clear" w:color="auto" w:fill="auto"/>
            <w:vAlign w:val="center"/>
          </w:tcPr>
          <w:p w14:paraId="6202B96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Cystic Fibrosis(CF) Chronically Infected With Pseudomonas aeruginosa</w:t>
            </w:r>
          </w:p>
        </w:tc>
        <w:tc>
          <w:tcPr>
            <w:tcW w:w="670" w:type="dxa"/>
            <w:tcBorders>
              <w:top w:val="single" w:color="000000" w:sz="8" w:space="0"/>
              <w:left w:val="nil"/>
              <w:bottom w:val="nil"/>
              <w:right w:val="nil"/>
            </w:tcBorders>
            <w:shd w:val="clear" w:color="auto" w:fill="auto"/>
            <w:vAlign w:val="center"/>
          </w:tcPr>
          <w:p w14:paraId="1ED4FADC">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Azithromycin</w:t>
            </w:r>
          </w:p>
        </w:tc>
        <w:tc>
          <w:tcPr>
            <w:tcW w:w="2347" w:type="dxa"/>
            <w:tcBorders>
              <w:top w:val="single" w:color="000000" w:sz="8" w:space="0"/>
              <w:left w:val="nil"/>
              <w:bottom w:val="nil"/>
              <w:right w:val="nil"/>
            </w:tcBorders>
            <w:shd w:val="clear" w:color="auto" w:fill="auto"/>
            <w:vAlign w:val="center"/>
          </w:tcPr>
          <w:p w14:paraId="5F3B0B26">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Azithromycin was supplied as 250-mg tablets.&lt;40 kg were instructed to take l tablet 3 days a week (Monday, Wednes-day, and Friday) and participants &gt;40 Kg 2 tablets on the same 3 days per week.</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Duration: 168 days</w:t>
            </w:r>
          </w:p>
        </w:tc>
        <w:tc>
          <w:tcPr>
            <w:tcW w:w="1421" w:type="dxa"/>
            <w:tcBorders>
              <w:top w:val="single" w:color="000000" w:sz="8" w:space="0"/>
              <w:left w:val="nil"/>
              <w:bottom w:val="nil"/>
              <w:right w:val="nil"/>
            </w:tcBorders>
            <w:shd w:val="clear" w:color="auto" w:fill="auto"/>
            <w:vAlign w:val="center"/>
          </w:tcPr>
          <w:p w14:paraId="22574372">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Placebo</w:t>
            </w:r>
          </w:p>
        </w:tc>
        <w:tc>
          <w:tcPr>
            <w:tcW w:w="3160" w:type="dxa"/>
            <w:tcBorders>
              <w:top w:val="single" w:color="000000" w:sz="8" w:space="0"/>
              <w:left w:val="nil"/>
              <w:bottom w:val="nil"/>
              <w:right w:val="nil"/>
            </w:tcBorders>
            <w:shd w:val="clear" w:color="auto" w:fill="auto"/>
            <w:vAlign w:val="center"/>
          </w:tcPr>
          <w:p w14:paraId="19B47C0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Placebo supplied as 250-mg tablets.&lt;40 kg were instructed to take l tablet 3 days a week (Monday, Wednes-day, and Friday) and participants &gt;40 Kg 2 tablets on the same 3 days per week.</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Duration: 168 days</w:t>
            </w:r>
          </w:p>
        </w:tc>
      </w:tr>
      <w:tr w14:paraId="69AD3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83" w:type="dxa"/>
            <w:tcBorders>
              <w:top w:val="nil"/>
              <w:left w:val="nil"/>
              <w:bottom w:val="nil"/>
              <w:right w:val="nil"/>
            </w:tcBorders>
            <w:shd w:val="clear" w:color="auto" w:fill="auto"/>
            <w:vAlign w:val="center"/>
          </w:tcPr>
          <w:p w14:paraId="5AB0590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Steinkamp 2008</w:t>
            </w:r>
          </w:p>
        </w:tc>
        <w:tc>
          <w:tcPr>
            <w:tcW w:w="976" w:type="dxa"/>
            <w:tcBorders>
              <w:top w:val="nil"/>
              <w:left w:val="nil"/>
              <w:bottom w:val="nil"/>
              <w:right w:val="nil"/>
            </w:tcBorders>
            <w:shd w:val="clear" w:color="auto" w:fill="auto"/>
            <w:vAlign w:val="center"/>
          </w:tcPr>
          <w:p w14:paraId="040CEB62">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RCT</w:t>
            </w:r>
          </w:p>
        </w:tc>
        <w:tc>
          <w:tcPr>
            <w:tcW w:w="1057" w:type="dxa"/>
            <w:tcBorders>
              <w:top w:val="nil"/>
              <w:left w:val="nil"/>
              <w:bottom w:val="nil"/>
              <w:right w:val="nil"/>
            </w:tcBorders>
            <w:shd w:val="clear" w:color="auto" w:fill="auto"/>
            <w:vAlign w:val="center"/>
          </w:tcPr>
          <w:p w14:paraId="328526C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Germany and Switzerland</w:t>
            </w:r>
          </w:p>
        </w:tc>
        <w:tc>
          <w:tcPr>
            <w:tcW w:w="1009" w:type="dxa"/>
            <w:tcBorders>
              <w:top w:val="nil"/>
              <w:left w:val="nil"/>
              <w:bottom w:val="nil"/>
              <w:right w:val="nil"/>
            </w:tcBorders>
            <w:shd w:val="clear" w:color="auto" w:fill="auto"/>
            <w:vAlign w:val="center"/>
          </w:tcPr>
          <w:p w14:paraId="6BE400AC">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21; C: 17</w:t>
            </w:r>
          </w:p>
        </w:tc>
        <w:tc>
          <w:tcPr>
            <w:tcW w:w="719" w:type="dxa"/>
            <w:tcBorders>
              <w:top w:val="nil"/>
              <w:left w:val="nil"/>
              <w:bottom w:val="nil"/>
              <w:right w:val="nil"/>
            </w:tcBorders>
            <w:shd w:val="clear" w:color="auto" w:fill="auto"/>
            <w:vAlign w:val="center"/>
          </w:tcPr>
          <w:p w14:paraId="1AA335D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23.7 (7.6); C: 26.3 (12.5)</w:t>
            </w:r>
          </w:p>
        </w:tc>
        <w:tc>
          <w:tcPr>
            <w:tcW w:w="2339" w:type="dxa"/>
            <w:tcBorders>
              <w:top w:val="nil"/>
              <w:left w:val="nil"/>
              <w:bottom w:val="nil"/>
              <w:right w:val="nil"/>
            </w:tcBorders>
            <w:shd w:val="clear" w:color="auto" w:fill="auto"/>
            <w:vAlign w:val="center"/>
          </w:tcPr>
          <w:p w14:paraId="765A66B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PA</w:t>
            </w:r>
          </w:p>
        </w:tc>
        <w:tc>
          <w:tcPr>
            <w:tcW w:w="1241" w:type="dxa"/>
            <w:tcBorders>
              <w:top w:val="nil"/>
              <w:left w:val="nil"/>
              <w:bottom w:val="nil"/>
              <w:right w:val="nil"/>
            </w:tcBorders>
            <w:shd w:val="clear" w:color="auto" w:fill="auto"/>
            <w:vAlign w:val="center"/>
          </w:tcPr>
          <w:p w14:paraId="732DE69D">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CF Chronically Infected With Pseudomonas aeruginosa</w:t>
            </w:r>
          </w:p>
        </w:tc>
        <w:tc>
          <w:tcPr>
            <w:tcW w:w="670" w:type="dxa"/>
            <w:tcBorders>
              <w:top w:val="nil"/>
              <w:left w:val="nil"/>
              <w:bottom w:val="nil"/>
              <w:right w:val="nil"/>
            </w:tcBorders>
            <w:shd w:val="clear" w:color="auto" w:fill="auto"/>
            <w:vAlign w:val="center"/>
          </w:tcPr>
          <w:p w14:paraId="791B6F40">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Azithromycin</w:t>
            </w:r>
          </w:p>
        </w:tc>
        <w:tc>
          <w:tcPr>
            <w:tcW w:w="2347" w:type="dxa"/>
            <w:tcBorders>
              <w:top w:val="nil"/>
              <w:left w:val="nil"/>
              <w:bottom w:val="nil"/>
              <w:right w:val="nil"/>
            </w:tcBorders>
            <w:shd w:val="clear" w:color="auto" w:fill="auto"/>
            <w:vAlign w:val="center"/>
          </w:tcPr>
          <w:p w14:paraId="6B836C8D">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20-29 kg: 500 mg (2 tablets), 30-39 kg: 750 mg (3 tablets), 40-49 kg: 1000 mg (4 tablets), and 50 kg: 1250 mg (5 tablets).</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Duration: 8 weeks</w:t>
            </w:r>
          </w:p>
        </w:tc>
        <w:tc>
          <w:tcPr>
            <w:tcW w:w="1421" w:type="dxa"/>
            <w:tcBorders>
              <w:top w:val="nil"/>
              <w:left w:val="nil"/>
              <w:bottom w:val="nil"/>
              <w:right w:val="nil"/>
            </w:tcBorders>
            <w:shd w:val="clear" w:color="auto" w:fill="auto"/>
            <w:vAlign w:val="center"/>
          </w:tcPr>
          <w:p w14:paraId="5BD3990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Placebo</w:t>
            </w:r>
          </w:p>
        </w:tc>
        <w:tc>
          <w:tcPr>
            <w:tcW w:w="3160" w:type="dxa"/>
            <w:tcBorders>
              <w:top w:val="nil"/>
              <w:left w:val="nil"/>
              <w:bottom w:val="nil"/>
              <w:right w:val="nil"/>
            </w:tcBorders>
            <w:shd w:val="clear" w:color="auto" w:fill="auto"/>
            <w:vAlign w:val="center"/>
          </w:tcPr>
          <w:p w14:paraId="0B0B75D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20-29 kg: 500 mg (2 tablets), 30-39 kg: 750 mg (3 tablets), 40-49 kg: 1000 mg (4 tablets), and 50 kg: 1250 mg (5 tablets).</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Duration: 8 weeks</w:t>
            </w:r>
          </w:p>
        </w:tc>
      </w:tr>
      <w:tr w14:paraId="6048C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83" w:type="dxa"/>
            <w:tcBorders>
              <w:top w:val="nil"/>
              <w:left w:val="nil"/>
              <w:bottom w:val="nil"/>
              <w:right w:val="nil"/>
            </w:tcBorders>
            <w:shd w:val="clear" w:color="auto" w:fill="auto"/>
            <w:vAlign w:val="center"/>
          </w:tcPr>
          <w:p w14:paraId="2FB10CC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Wong 2012</w:t>
            </w:r>
          </w:p>
        </w:tc>
        <w:tc>
          <w:tcPr>
            <w:tcW w:w="976" w:type="dxa"/>
            <w:tcBorders>
              <w:top w:val="nil"/>
              <w:left w:val="nil"/>
              <w:bottom w:val="nil"/>
              <w:right w:val="nil"/>
            </w:tcBorders>
            <w:shd w:val="clear" w:color="auto" w:fill="auto"/>
            <w:vAlign w:val="center"/>
          </w:tcPr>
          <w:p w14:paraId="7324C7A0">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RCT</w:t>
            </w:r>
          </w:p>
        </w:tc>
        <w:tc>
          <w:tcPr>
            <w:tcW w:w="1057" w:type="dxa"/>
            <w:tcBorders>
              <w:top w:val="nil"/>
              <w:left w:val="nil"/>
              <w:bottom w:val="nil"/>
              <w:right w:val="nil"/>
            </w:tcBorders>
            <w:shd w:val="clear" w:color="auto" w:fill="auto"/>
            <w:vAlign w:val="center"/>
          </w:tcPr>
          <w:p w14:paraId="5B069305">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New Zealand</w:t>
            </w:r>
          </w:p>
        </w:tc>
        <w:tc>
          <w:tcPr>
            <w:tcW w:w="1009" w:type="dxa"/>
            <w:tcBorders>
              <w:top w:val="nil"/>
              <w:left w:val="nil"/>
              <w:bottom w:val="nil"/>
              <w:right w:val="nil"/>
            </w:tcBorders>
            <w:shd w:val="clear" w:color="auto" w:fill="auto"/>
            <w:vAlign w:val="center"/>
          </w:tcPr>
          <w:p w14:paraId="4752BABD">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71;</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C: 70</w:t>
            </w:r>
          </w:p>
        </w:tc>
        <w:tc>
          <w:tcPr>
            <w:tcW w:w="719" w:type="dxa"/>
            <w:tcBorders>
              <w:top w:val="nil"/>
              <w:left w:val="nil"/>
              <w:bottom w:val="nil"/>
              <w:right w:val="nil"/>
            </w:tcBorders>
            <w:shd w:val="clear" w:color="auto" w:fill="auto"/>
            <w:vAlign w:val="center"/>
          </w:tcPr>
          <w:p w14:paraId="02BA66B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I:60.9 (13.6);</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C: 59.0 (13.3)</w:t>
            </w:r>
          </w:p>
        </w:tc>
        <w:tc>
          <w:tcPr>
            <w:tcW w:w="2339" w:type="dxa"/>
            <w:tcBorders>
              <w:top w:val="nil"/>
              <w:left w:val="nil"/>
              <w:bottom w:val="nil"/>
              <w:right w:val="nil"/>
            </w:tcBorders>
            <w:shd w:val="clear" w:color="auto" w:fill="auto"/>
            <w:vAlign w:val="center"/>
          </w:tcPr>
          <w:p w14:paraId="0F0B3B4D">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Haemophilus influenzae; Pseudomonas aeruginosa; Moraxella catarrhalis; Staphylococcus aureus; Streptococcus</w:t>
            </w:r>
            <w:r>
              <w:rPr>
                <w:rFonts w:hint="default" w:ascii="Times New Roman" w:hAnsi="Times New Roman" w:cs="Times New Roman"/>
                <w:i w:val="0"/>
                <w:iCs w:val="0"/>
                <w:color w:val="000000"/>
                <w:kern w:val="0"/>
                <w:sz w:val="18"/>
                <w:szCs w:val="18"/>
                <w:u w:val="none"/>
                <w:lang w:val="en-US" w:eastAsia="zh-CN" w:bidi="ar"/>
                <w14:ligatures w14:val="none"/>
              </w:rPr>
              <w:t xml:space="preserve"> </w:t>
            </w:r>
            <w:r>
              <w:rPr>
                <w:rFonts w:hint="default" w:ascii="Times New Roman" w:hAnsi="Times New Roman" w:eastAsia="宋体" w:cs="Times New Roman"/>
                <w:i w:val="0"/>
                <w:iCs w:val="0"/>
                <w:color w:val="000000"/>
                <w:kern w:val="0"/>
                <w:sz w:val="18"/>
                <w:szCs w:val="18"/>
                <w:u w:val="none"/>
                <w:lang w:val="en-US" w:eastAsia="zh-CN" w:bidi="ar"/>
                <w14:ligatures w14:val="none"/>
              </w:rPr>
              <w:t>pneumoniae</w:t>
            </w:r>
          </w:p>
        </w:tc>
        <w:tc>
          <w:tcPr>
            <w:tcW w:w="1241" w:type="dxa"/>
            <w:tcBorders>
              <w:top w:val="nil"/>
              <w:left w:val="nil"/>
              <w:bottom w:val="nil"/>
              <w:right w:val="nil"/>
            </w:tcBorders>
            <w:shd w:val="clear" w:color="auto" w:fill="auto"/>
            <w:vAlign w:val="center"/>
          </w:tcPr>
          <w:p w14:paraId="4C317CC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Non-CF Bronchiectasis</w:t>
            </w:r>
          </w:p>
        </w:tc>
        <w:tc>
          <w:tcPr>
            <w:tcW w:w="670" w:type="dxa"/>
            <w:tcBorders>
              <w:top w:val="nil"/>
              <w:left w:val="nil"/>
              <w:bottom w:val="nil"/>
              <w:right w:val="nil"/>
            </w:tcBorders>
            <w:shd w:val="clear" w:color="auto" w:fill="auto"/>
            <w:vAlign w:val="center"/>
          </w:tcPr>
          <w:p w14:paraId="64763DD4">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Azithromycin</w:t>
            </w:r>
          </w:p>
        </w:tc>
        <w:tc>
          <w:tcPr>
            <w:tcW w:w="2347" w:type="dxa"/>
            <w:tcBorders>
              <w:top w:val="nil"/>
              <w:left w:val="nil"/>
              <w:bottom w:val="nil"/>
              <w:right w:val="nil"/>
            </w:tcBorders>
            <w:shd w:val="clear" w:color="auto" w:fill="auto"/>
            <w:vAlign w:val="center"/>
          </w:tcPr>
          <w:p w14:paraId="34C4FFE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500 mg azithromycin to take on 3 days (Monday, Wednesday, and Friday) every week for 6 months.</w:t>
            </w:r>
          </w:p>
        </w:tc>
        <w:tc>
          <w:tcPr>
            <w:tcW w:w="1421" w:type="dxa"/>
            <w:tcBorders>
              <w:top w:val="nil"/>
              <w:left w:val="nil"/>
              <w:bottom w:val="nil"/>
              <w:right w:val="nil"/>
            </w:tcBorders>
            <w:shd w:val="clear" w:color="auto" w:fill="auto"/>
            <w:vAlign w:val="center"/>
          </w:tcPr>
          <w:p w14:paraId="482E76D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Placebo</w:t>
            </w:r>
          </w:p>
        </w:tc>
        <w:tc>
          <w:tcPr>
            <w:tcW w:w="3160" w:type="dxa"/>
            <w:tcBorders>
              <w:top w:val="nil"/>
              <w:left w:val="nil"/>
              <w:bottom w:val="nil"/>
              <w:right w:val="nil"/>
            </w:tcBorders>
            <w:shd w:val="clear" w:color="auto" w:fill="auto"/>
            <w:vAlign w:val="center"/>
          </w:tcPr>
          <w:p w14:paraId="5536230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500 mg placebo to take on 3 days (Monday, Wednesday, and Friday) every week for 6 months.</w:t>
            </w:r>
          </w:p>
        </w:tc>
      </w:tr>
      <w:tr w14:paraId="73269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83" w:type="dxa"/>
            <w:tcBorders>
              <w:top w:val="nil"/>
              <w:left w:val="nil"/>
              <w:bottom w:val="nil"/>
              <w:right w:val="nil"/>
            </w:tcBorders>
            <w:shd w:val="clear" w:color="auto" w:fill="auto"/>
            <w:vAlign w:val="center"/>
          </w:tcPr>
          <w:p w14:paraId="3816441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Altenburg 2013</w:t>
            </w:r>
          </w:p>
        </w:tc>
        <w:tc>
          <w:tcPr>
            <w:tcW w:w="976" w:type="dxa"/>
            <w:tcBorders>
              <w:top w:val="nil"/>
              <w:left w:val="nil"/>
              <w:bottom w:val="nil"/>
              <w:right w:val="nil"/>
            </w:tcBorders>
            <w:shd w:val="clear" w:color="auto" w:fill="auto"/>
            <w:vAlign w:val="center"/>
          </w:tcPr>
          <w:p w14:paraId="5BDED873">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RCT</w:t>
            </w:r>
          </w:p>
        </w:tc>
        <w:tc>
          <w:tcPr>
            <w:tcW w:w="1057" w:type="dxa"/>
            <w:tcBorders>
              <w:top w:val="nil"/>
              <w:left w:val="nil"/>
              <w:bottom w:val="nil"/>
              <w:right w:val="nil"/>
            </w:tcBorders>
            <w:shd w:val="clear" w:color="auto" w:fill="auto"/>
            <w:vAlign w:val="center"/>
          </w:tcPr>
          <w:p w14:paraId="4AC98C0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Netherlands</w:t>
            </w:r>
          </w:p>
        </w:tc>
        <w:tc>
          <w:tcPr>
            <w:tcW w:w="1009" w:type="dxa"/>
            <w:tcBorders>
              <w:top w:val="nil"/>
              <w:left w:val="nil"/>
              <w:bottom w:val="nil"/>
              <w:right w:val="nil"/>
            </w:tcBorders>
            <w:shd w:val="clear" w:color="auto" w:fill="auto"/>
            <w:vAlign w:val="center"/>
          </w:tcPr>
          <w:p w14:paraId="5D6C6A34">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43;</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C: 40</w:t>
            </w:r>
          </w:p>
        </w:tc>
        <w:tc>
          <w:tcPr>
            <w:tcW w:w="719" w:type="dxa"/>
            <w:tcBorders>
              <w:top w:val="nil"/>
              <w:left w:val="nil"/>
              <w:bottom w:val="nil"/>
              <w:right w:val="nil"/>
            </w:tcBorders>
            <w:shd w:val="clear" w:color="auto" w:fill="auto"/>
            <w:vAlign w:val="center"/>
          </w:tcPr>
          <w:p w14:paraId="135395F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59.9 (12.3); C:64.6 (9.1)</w:t>
            </w:r>
          </w:p>
        </w:tc>
        <w:tc>
          <w:tcPr>
            <w:tcW w:w="2339" w:type="dxa"/>
            <w:tcBorders>
              <w:top w:val="nil"/>
              <w:left w:val="nil"/>
              <w:bottom w:val="nil"/>
              <w:right w:val="nil"/>
            </w:tcBorders>
            <w:shd w:val="clear" w:color="auto" w:fill="auto"/>
            <w:vAlign w:val="center"/>
          </w:tcPr>
          <w:p w14:paraId="039CCA6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Haemophilus influenzae (Azithromycin/Placebo): 13/9; Pseudomonas aeruginosa (Azithromycin/Placebo): 6/6; Staphylococcus aureus (Azithromycin/Placebo): 4/9;</w:t>
            </w:r>
          </w:p>
        </w:tc>
        <w:tc>
          <w:tcPr>
            <w:tcW w:w="1241" w:type="dxa"/>
            <w:tcBorders>
              <w:top w:val="nil"/>
              <w:left w:val="nil"/>
              <w:bottom w:val="nil"/>
              <w:right w:val="nil"/>
            </w:tcBorders>
            <w:shd w:val="clear" w:color="auto" w:fill="auto"/>
            <w:vAlign w:val="center"/>
          </w:tcPr>
          <w:p w14:paraId="21A16E56">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Non-CF Bronchiectasis</w:t>
            </w:r>
          </w:p>
        </w:tc>
        <w:tc>
          <w:tcPr>
            <w:tcW w:w="670" w:type="dxa"/>
            <w:tcBorders>
              <w:top w:val="nil"/>
              <w:left w:val="nil"/>
              <w:bottom w:val="nil"/>
              <w:right w:val="nil"/>
            </w:tcBorders>
            <w:shd w:val="clear" w:color="auto" w:fill="auto"/>
            <w:vAlign w:val="center"/>
          </w:tcPr>
          <w:p w14:paraId="4DF6ABBE">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Azithromycin</w:t>
            </w:r>
          </w:p>
        </w:tc>
        <w:tc>
          <w:tcPr>
            <w:tcW w:w="2347" w:type="dxa"/>
            <w:tcBorders>
              <w:top w:val="nil"/>
              <w:left w:val="nil"/>
              <w:bottom w:val="nil"/>
              <w:right w:val="nil"/>
            </w:tcBorders>
            <w:shd w:val="clear" w:color="auto" w:fill="auto"/>
            <w:vAlign w:val="center"/>
          </w:tcPr>
          <w:p w14:paraId="6C729B3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Oral azithromycin (250 mg once per day) for the subsequent 52 weeks.</w:t>
            </w:r>
          </w:p>
        </w:tc>
        <w:tc>
          <w:tcPr>
            <w:tcW w:w="1421" w:type="dxa"/>
            <w:tcBorders>
              <w:top w:val="nil"/>
              <w:left w:val="nil"/>
              <w:bottom w:val="nil"/>
              <w:right w:val="nil"/>
            </w:tcBorders>
            <w:shd w:val="clear" w:color="auto" w:fill="auto"/>
            <w:vAlign w:val="center"/>
          </w:tcPr>
          <w:p w14:paraId="4D68CF4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Placebo</w:t>
            </w:r>
          </w:p>
        </w:tc>
        <w:tc>
          <w:tcPr>
            <w:tcW w:w="3160" w:type="dxa"/>
            <w:tcBorders>
              <w:top w:val="nil"/>
              <w:left w:val="nil"/>
              <w:bottom w:val="nil"/>
              <w:right w:val="nil"/>
            </w:tcBorders>
            <w:shd w:val="clear" w:color="auto" w:fill="auto"/>
            <w:vAlign w:val="center"/>
          </w:tcPr>
          <w:p w14:paraId="0338FF7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oral placebo (250 mg once per day) for the subsequent 52 weeks.</w:t>
            </w:r>
          </w:p>
        </w:tc>
      </w:tr>
      <w:tr w14:paraId="4CE12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83" w:type="dxa"/>
            <w:tcBorders>
              <w:top w:val="nil"/>
              <w:left w:val="nil"/>
              <w:bottom w:val="single" w:color="000000" w:sz="8" w:space="0"/>
              <w:right w:val="nil"/>
            </w:tcBorders>
            <w:shd w:val="clear" w:color="auto" w:fill="auto"/>
            <w:vAlign w:val="center"/>
          </w:tcPr>
          <w:p w14:paraId="6DE999E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Diego 2013</w:t>
            </w:r>
          </w:p>
        </w:tc>
        <w:tc>
          <w:tcPr>
            <w:tcW w:w="976" w:type="dxa"/>
            <w:tcBorders>
              <w:top w:val="nil"/>
              <w:left w:val="nil"/>
              <w:bottom w:val="single" w:color="000000" w:sz="8" w:space="0"/>
              <w:right w:val="nil"/>
            </w:tcBorders>
            <w:shd w:val="clear" w:color="auto" w:fill="auto"/>
            <w:vAlign w:val="center"/>
          </w:tcPr>
          <w:p w14:paraId="45C73C77">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RCT</w:t>
            </w:r>
          </w:p>
        </w:tc>
        <w:tc>
          <w:tcPr>
            <w:tcW w:w="1057" w:type="dxa"/>
            <w:tcBorders>
              <w:top w:val="nil"/>
              <w:left w:val="nil"/>
              <w:bottom w:val="single" w:color="000000" w:sz="8" w:space="0"/>
              <w:right w:val="nil"/>
            </w:tcBorders>
            <w:shd w:val="clear" w:color="auto" w:fill="auto"/>
            <w:vAlign w:val="center"/>
          </w:tcPr>
          <w:p w14:paraId="7C2E09D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Spain</w:t>
            </w:r>
          </w:p>
        </w:tc>
        <w:tc>
          <w:tcPr>
            <w:tcW w:w="1009" w:type="dxa"/>
            <w:tcBorders>
              <w:top w:val="nil"/>
              <w:left w:val="nil"/>
              <w:bottom w:val="single" w:color="000000" w:sz="8" w:space="0"/>
              <w:right w:val="nil"/>
            </w:tcBorders>
            <w:shd w:val="clear" w:color="auto" w:fill="auto"/>
            <w:vAlign w:val="center"/>
          </w:tcPr>
          <w:p w14:paraId="033DCD21">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16</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C: 14</w:t>
            </w:r>
          </w:p>
        </w:tc>
        <w:tc>
          <w:tcPr>
            <w:tcW w:w="719" w:type="dxa"/>
            <w:tcBorders>
              <w:top w:val="nil"/>
              <w:left w:val="nil"/>
              <w:bottom w:val="single" w:color="000000" w:sz="8" w:space="0"/>
              <w:right w:val="nil"/>
            </w:tcBorders>
            <w:shd w:val="clear" w:color="auto" w:fill="auto"/>
            <w:vAlign w:val="center"/>
          </w:tcPr>
          <w:p w14:paraId="73CB859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58</w:t>
            </w:r>
          </w:p>
        </w:tc>
        <w:tc>
          <w:tcPr>
            <w:tcW w:w="2339" w:type="dxa"/>
            <w:tcBorders>
              <w:top w:val="nil"/>
              <w:left w:val="nil"/>
              <w:bottom w:val="single" w:color="000000" w:sz="8" w:space="0"/>
              <w:right w:val="nil"/>
            </w:tcBorders>
            <w:shd w:val="clear" w:color="auto" w:fill="auto"/>
            <w:vAlign w:val="center"/>
          </w:tcPr>
          <w:p w14:paraId="4E827AF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PA</w:t>
            </w:r>
          </w:p>
        </w:tc>
        <w:tc>
          <w:tcPr>
            <w:tcW w:w="1241" w:type="dxa"/>
            <w:tcBorders>
              <w:top w:val="nil"/>
              <w:left w:val="nil"/>
              <w:bottom w:val="single" w:color="000000" w:sz="8" w:space="0"/>
              <w:right w:val="nil"/>
            </w:tcBorders>
            <w:shd w:val="clear" w:color="auto" w:fill="auto"/>
            <w:vAlign w:val="center"/>
          </w:tcPr>
          <w:p w14:paraId="0960FA9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Non-CF Bronchiectasis</w:t>
            </w:r>
          </w:p>
        </w:tc>
        <w:tc>
          <w:tcPr>
            <w:tcW w:w="670" w:type="dxa"/>
            <w:tcBorders>
              <w:top w:val="nil"/>
              <w:left w:val="single" w:color="000000" w:sz="4" w:space="0"/>
              <w:bottom w:val="single" w:color="000000" w:sz="8" w:space="0"/>
              <w:right w:val="single" w:color="000000" w:sz="4" w:space="0"/>
            </w:tcBorders>
            <w:shd w:val="clear" w:color="auto" w:fill="auto"/>
            <w:vAlign w:val="center"/>
          </w:tcPr>
          <w:p w14:paraId="717B26EC">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Azithromycin</w:t>
            </w:r>
          </w:p>
        </w:tc>
        <w:tc>
          <w:tcPr>
            <w:tcW w:w="2347" w:type="dxa"/>
            <w:tcBorders>
              <w:top w:val="nil"/>
              <w:left w:val="nil"/>
              <w:bottom w:val="single" w:color="000000" w:sz="8" w:space="0"/>
              <w:right w:val="nil"/>
            </w:tcBorders>
            <w:shd w:val="clear" w:color="auto" w:fill="auto"/>
            <w:vAlign w:val="center"/>
          </w:tcPr>
          <w:p w14:paraId="169D56E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250 mg of azithromycin oral three times a week for 3 months</w:t>
            </w:r>
          </w:p>
        </w:tc>
        <w:tc>
          <w:tcPr>
            <w:tcW w:w="1421" w:type="dxa"/>
            <w:tcBorders>
              <w:top w:val="nil"/>
              <w:left w:val="single" w:color="000000" w:sz="4" w:space="0"/>
              <w:bottom w:val="single" w:color="000000" w:sz="8" w:space="0"/>
              <w:right w:val="single" w:color="000000" w:sz="4" w:space="0"/>
            </w:tcBorders>
            <w:shd w:val="clear" w:color="auto" w:fill="auto"/>
            <w:vAlign w:val="center"/>
          </w:tcPr>
          <w:p w14:paraId="4A89B02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No treatment </w:t>
            </w:r>
          </w:p>
        </w:tc>
        <w:tc>
          <w:tcPr>
            <w:tcW w:w="3160" w:type="dxa"/>
            <w:tcBorders>
              <w:top w:val="nil"/>
              <w:left w:val="nil"/>
              <w:bottom w:val="single" w:color="000000" w:sz="8" w:space="0"/>
              <w:right w:val="nil"/>
            </w:tcBorders>
            <w:shd w:val="clear" w:color="auto" w:fill="auto"/>
            <w:vAlign w:val="center"/>
          </w:tcPr>
          <w:p w14:paraId="38C2F70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The other was used as control, No placebo.</w:t>
            </w:r>
          </w:p>
        </w:tc>
      </w:tr>
      <w:tr w14:paraId="438DD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722" w:type="dxa"/>
            <w:gridSpan w:val="11"/>
            <w:tcBorders>
              <w:top w:val="nil"/>
              <w:left w:val="nil"/>
              <w:bottom w:val="nil"/>
              <w:right w:val="nil"/>
            </w:tcBorders>
            <w:shd w:val="clear" w:color="auto" w:fill="auto"/>
            <w:vAlign w:val="center"/>
          </w:tcPr>
          <w:p w14:paraId="387ED3F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I: Intervention; C: Comparison; PA: Pseudomonas aeruginosa;  </w:t>
            </w:r>
            <w:r>
              <w:rPr>
                <w:rFonts w:hint="default" w:ascii="Times New Roman" w:hAnsi="Times New Roman" w:eastAsia="宋体" w:cs="Times New Roman"/>
                <w:i w:val="0"/>
                <w:iCs w:val="0"/>
                <w:color w:val="000000"/>
                <w:kern w:val="0"/>
                <w:sz w:val="18"/>
                <w:szCs w:val="18"/>
                <w:u w:val="none"/>
                <w:vertAlign w:val="superscript"/>
                <w:lang w:val="en-US" w:eastAsia="zh-CN" w:bidi="ar"/>
                <w14:ligatures w14:val="none"/>
              </w:rPr>
              <w:t>1</w:t>
            </w: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 mean (SD)</w:t>
            </w:r>
          </w:p>
        </w:tc>
      </w:tr>
    </w:tbl>
    <w:p w14:paraId="17353BE8">
      <w:pPr>
        <w:pStyle w:val="39"/>
        <w:rPr>
          <w:rFonts w:hint="eastAsia"/>
        </w:rPr>
      </w:pPr>
    </w:p>
    <w:p w14:paraId="3B621BEE">
      <w:pPr>
        <w:pStyle w:val="39"/>
        <w:rPr>
          <w:rFonts w:hint="eastAsia"/>
        </w:rPr>
      </w:pPr>
      <w:r>
        <w:rPr>
          <w:rFonts w:hint="eastAsia"/>
        </w:rPr>
        <w:t>附表</w:t>
      </w:r>
      <w:r>
        <w:rPr>
          <w:rFonts w:hint="eastAsia"/>
          <w:lang w:val="en-US" w:eastAsia="zh-CN"/>
        </w:rPr>
        <w:t>8</w:t>
      </w:r>
      <w:r>
        <w:rPr>
          <w:rFonts w:hint="eastAsia"/>
        </w:rPr>
        <w:t>.临床问题</w:t>
      </w:r>
      <w:r>
        <w:rPr>
          <w:rFonts w:hint="eastAsia"/>
          <w:lang w:val="en-US" w:eastAsia="zh-CN"/>
        </w:rPr>
        <w:t>8</w:t>
      </w:r>
      <w:r>
        <w:rPr>
          <w:rFonts w:hint="eastAsia"/>
        </w:rPr>
        <w:t>纳入文献基线特征表</w:t>
      </w:r>
    </w:p>
    <w:tbl>
      <w:tblPr>
        <w:tblStyle w:val="15"/>
        <w:tblW w:w="157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1"/>
        <w:gridCol w:w="1042"/>
        <w:gridCol w:w="876"/>
        <w:gridCol w:w="925"/>
        <w:gridCol w:w="1149"/>
        <w:gridCol w:w="1314"/>
        <w:gridCol w:w="1025"/>
        <w:gridCol w:w="1215"/>
        <w:gridCol w:w="2934"/>
        <w:gridCol w:w="1868"/>
        <w:gridCol w:w="2690"/>
      </w:tblGrid>
      <w:tr w14:paraId="2C1B7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701" w:type="dxa"/>
            <w:tcBorders>
              <w:top w:val="single" w:color="000000" w:sz="12" w:space="0"/>
              <w:left w:val="nil"/>
              <w:bottom w:val="single" w:color="000000" w:sz="8" w:space="0"/>
              <w:right w:val="nil"/>
            </w:tcBorders>
            <w:shd w:val="clear" w:color="auto" w:fill="auto"/>
            <w:vAlign w:val="center"/>
          </w:tcPr>
          <w:p w14:paraId="397BF61D">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Study ID</w:t>
            </w:r>
          </w:p>
        </w:tc>
        <w:tc>
          <w:tcPr>
            <w:tcW w:w="1042" w:type="dxa"/>
            <w:tcBorders>
              <w:top w:val="single" w:color="000000" w:sz="12" w:space="0"/>
              <w:left w:val="nil"/>
              <w:bottom w:val="single" w:color="000000" w:sz="8" w:space="0"/>
              <w:right w:val="nil"/>
            </w:tcBorders>
            <w:shd w:val="clear" w:color="auto" w:fill="auto"/>
            <w:vAlign w:val="center"/>
          </w:tcPr>
          <w:p w14:paraId="4E802AF9">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Study Design</w:t>
            </w:r>
          </w:p>
        </w:tc>
        <w:tc>
          <w:tcPr>
            <w:tcW w:w="876" w:type="dxa"/>
            <w:tcBorders>
              <w:top w:val="single" w:color="000000" w:sz="12" w:space="0"/>
              <w:left w:val="nil"/>
              <w:bottom w:val="single" w:color="000000" w:sz="8" w:space="0"/>
              <w:right w:val="nil"/>
            </w:tcBorders>
            <w:shd w:val="clear" w:color="auto" w:fill="auto"/>
            <w:vAlign w:val="center"/>
          </w:tcPr>
          <w:p w14:paraId="06CE366F">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Country</w:t>
            </w:r>
          </w:p>
        </w:tc>
        <w:tc>
          <w:tcPr>
            <w:tcW w:w="925" w:type="dxa"/>
            <w:tcBorders>
              <w:top w:val="single" w:color="000000" w:sz="12" w:space="0"/>
              <w:left w:val="nil"/>
              <w:bottom w:val="single" w:color="000000" w:sz="8" w:space="0"/>
              <w:right w:val="nil"/>
            </w:tcBorders>
            <w:shd w:val="clear" w:color="auto" w:fill="auto"/>
            <w:vAlign w:val="center"/>
          </w:tcPr>
          <w:p w14:paraId="7DD83006">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Sample Size</w:t>
            </w:r>
          </w:p>
        </w:tc>
        <w:tc>
          <w:tcPr>
            <w:tcW w:w="1149" w:type="dxa"/>
            <w:tcBorders>
              <w:top w:val="single" w:color="000000" w:sz="12" w:space="0"/>
              <w:left w:val="nil"/>
              <w:bottom w:val="single" w:color="000000" w:sz="8" w:space="0"/>
              <w:right w:val="nil"/>
            </w:tcBorders>
            <w:shd w:val="clear" w:color="auto" w:fill="auto"/>
            <w:vAlign w:val="center"/>
          </w:tcPr>
          <w:p w14:paraId="0682A9D7">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kern w:val="0"/>
                <w:sz w:val="18"/>
                <w:szCs w:val="18"/>
                <w:u w:val="none"/>
                <w:lang w:val="en-US" w:eastAsia="zh-CN" w:bidi="ar"/>
                <w14:ligatures w14: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Age/Mean</w:t>
            </w:r>
          </w:p>
          <w:p w14:paraId="0B852FA1">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(SD) Year</w:t>
            </w:r>
          </w:p>
        </w:tc>
        <w:tc>
          <w:tcPr>
            <w:tcW w:w="1314" w:type="dxa"/>
            <w:tcBorders>
              <w:top w:val="single" w:color="000000" w:sz="12" w:space="0"/>
              <w:left w:val="nil"/>
              <w:bottom w:val="single" w:color="000000" w:sz="8" w:space="0"/>
              <w:right w:val="nil"/>
            </w:tcBorders>
            <w:shd w:val="clear" w:color="auto" w:fill="auto"/>
            <w:vAlign w:val="center"/>
          </w:tcPr>
          <w:p w14:paraId="2B1B4BFA">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Pathogenic Bacteria</w:t>
            </w:r>
          </w:p>
        </w:tc>
        <w:tc>
          <w:tcPr>
            <w:tcW w:w="1025" w:type="dxa"/>
            <w:tcBorders>
              <w:top w:val="single" w:color="000000" w:sz="12" w:space="0"/>
              <w:left w:val="nil"/>
              <w:bottom w:val="single" w:color="000000" w:sz="8" w:space="0"/>
              <w:right w:val="nil"/>
            </w:tcBorders>
            <w:shd w:val="clear" w:color="auto" w:fill="auto"/>
            <w:vAlign w:val="center"/>
          </w:tcPr>
          <w:p w14:paraId="24670C8D">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Patients Disease</w:t>
            </w:r>
          </w:p>
        </w:tc>
        <w:tc>
          <w:tcPr>
            <w:tcW w:w="1215" w:type="dxa"/>
            <w:tcBorders>
              <w:top w:val="single" w:color="000000" w:sz="12" w:space="0"/>
              <w:left w:val="nil"/>
              <w:bottom w:val="single" w:color="000000" w:sz="8" w:space="0"/>
              <w:right w:val="nil"/>
            </w:tcBorders>
            <w:shd w:val="clear" w:color="auto" w:fill="auto"/>
            <w:vAlign w:val="center"/>
          </w:tcPr>
          <w:p w14:paraId="76ED1384">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Intervention</w:t>
            </w:r>
          </w:p>
        </w:tc>
        <w:tc>
          <w:tcPr>
            <w:tcW w:w="2934" w:type="dxa"/>
            <w:tcBorders>
              <w:top w:val="single" w:color="000000" w:sz="12" w:space="0"/>
              <w:left w:val="nil"/>
              <w:bottom w:val="single" w:color="000000" w:sz="8" w:space="0"/>
              <w:right w:val="nil"/>
            </w:tcBorders>
            <w:shd w:val="clear" w:color="auto" w:fill="auto"/>
            <w:vAlign w:val="center"/>
          </w:tcPr>
          <w:p w14:paraId="1D6BD937">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Dosage, Frequency, Duration</w:t>
            </w:r>
          </w:p>
        </w:tc>
        <w:tc>
          <w:tcPr>
            <w:tcW w:w="1868" w:type="dxa"/>
            <w:tcBorders>
              <w:top w:val="single" w:color="000000" w:sz="12" w:space="0"/>
              <w:left w:val="nil"/>
              <w:bottom w:val="single" w:color="000000" w:sz="8" w:space="0"/>
              <w:right w:val="nil"/>
            </w:tcBorders>
            <w:shd w:val="clear" w:color="auto" w:fill="auto"/>
            <w:vAlign w:val="center"/>
          </w:tcPr>
          <w:p w14:paraId="00338F43">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Comparison</w:t>
            </w:r>
          </w:p>
        </w:tc>
        <w:tc>
          <w:tcPr>
            <w:tcW w:w="2690" w:type="dxa"/>
            <w:tcBorders>
              <w:top w:val="single" w:color="000000" w:sz="12" w:space="0"/>
              <w:left w:val="nil"/>
              <w:bottom w:val="single" w:color="000000" w:sz="8" w:space="0"/>
              <w:right w:val="nil"/>
            </w:tcBorders>
            <w:shd w:val="clear" w:color="auto" w:fill="auto"/>
            <w:vAlign w:val="center"/>
          </w:tcPr>
          <w:p w14:paraId="280F1F54">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微软雅黑" w:cs="Times New Roman"/>
                <w:b/>
                <w:bCs/>
                <w:i w:val="0"/>
                <w:iCs w:val="0"/>
                <w:color w:val="000000"/>
                <w:sz w:val="18"/>
                <w:szCs w:val="18"/>
                <w:u w:val="none"/>
              </w:rPr>
            </w:pPr>
            <w:r>
              <w:rPr>
                <w:rFonts w:hint="default" w:ascii="Times New Roman" w:hAnsi="Times New Roman" w:eastAsia="微软雅黑" w:cs="Times New Roman"/>
                <w:b/>
                <w:bCs/>
                <w:i w:val="0"/>
                <w:iCs w:val="0"/>
                <w:color w:val="000000"/>
                <w:kern w:val="0"/>
                <w:sz w:val="18"/>
                <w:szCs w:val="18"/>
                <w:u w:val="none"/>
                <w:lang w:val="en-US" w:eastAsia="zh-CN" w:bidi="ar"/>
                <w14:ligatures w14:val="none"/>
              </w:rPr>
              <w:t>Dosage, Frequency, Duration</w:t>
            </w:r>
          </w:p>
        </w:tc>
      </w:tr>
      <w:tr w14:paraId="16B5D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01" w:type="dxa"/>
            <w:tcBorders>
              <w:top w:val="nil"/>
              <w:left w:val="nil"/>
              <w:bottom w:val="nil"/>
              <w:right w:val="nil"/>
            </w:tcBorders>
            <w:shd w:val="clear" w:color="auto" w:fill="auto"/>
            <w:vAlign w:val="center"/>
          </w:tcPr>
          <w:p w14:paraId="76D02EB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Rattanaumpawan 2010</w:t>
            </w:r>
          </w:p>
        </w:tc>
        <w:tc>
          <w:tcPr>
            <w:tcW w:w="1042" w:type="dxa"/>
            <w:tcBorders>
              <w:top w:val="nil"/>
              <w:left w:val="nil"/>
              <w:bottom w:val="nil"/>
              <w:right w:val="nil"/>
            </w:tcBorders>
            <w:shd w:val="clear" w:color="auto" w:fill="auto"/>
            <w:vAlign w:val="center"/>
          </w:tcPr>
          <w:p w14:paraId="7769FEF2">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RCT</w:t>
            </w:r>
          </w:p>
        </w:tc>
        <w:tc>
          <w:tcPr>
            <w:tcW w:w="876" w:type="dxa"/>
            <w:tcBorders>
              <w:top w:val="nil"/>
              <w:left w:val="nil"/>
              <w:bottom w:val="nil"/>
              <w:right w:val="nil"/>
            </w:tcBorders>
            <w:shd w:val="clear" w:color="auto" w:fill="auto"/>
            <w:vAlign w:val="center"/>
          </w:tcPr>
          <w:p w14:paraId="349F2F8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Thailand</w:t>
            </w:r>
          </w:p>
        </w:tc>
        <w:tc>
          <w:tcPr>
            <w:tcW w:w="925" w:type="dxa"/>
            <w:tcBorders>
              <w:top w:val="nil"/>
              <w:left w:val="nil"/>
              <w:bottom w:val="nil"/>
              <w:right w:val="nil"/>
            </w:tcBorders>
            <w:shd w:val="clear" w:color="auto" w:fill="auto"/>
            <w:vAlign w:val="center"/>
          </w:tcPr>
          <w:p w14:paraId="2D4C6034">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51; C: 49</w:t>
            </w:r>
          </w:p>
        </w:tc>
        <w:tc>
          <w:tcPr>
            <w:tcW w:w="1149" w:type="dxa"/>
            <w:tcBorders>
              <w:top w:val="nil"/>
              <w:left w:val="nil"/>
              <w:bottom w:val="nil"/>
              <w:right w:val="nil"/>
            </w:tcBorders>
            <w:shd w:val="clear" w:color="auto" w:fill="auto"/>
            <w:vAlign w:val="center"/>
          </w:tcPr>
          <w:p w14:paraId="0DEC12D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70.2 (18.5); C:  66.2 (15.8)</w:t>
            </w:r>
          </w:p>
        </w:tc>
        <w:tc>
          <w:tcPr>
            <w:tcW w:w="1314" w:type="dxa"/>
            <w:tcBorders>
              <w:top w:val="nil"/>
              <w:left w:val="nil"/>
              <w:bottom w:val="nil"/>
              <w:right w:val="nil"/>
            </w:tcBorders>
            <w:shd w:val="clear" w:color="auto" w:fill="auto"/>
            <w:vAlign w:val="center"/>
          </w:tcPr>
          <w:p w14:paraId="6F234E8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Acinetobacter baumannii</w:t>
            </w:r>
            <w:r>
              <w:rPr>
                <w:rFonts w:hint="eastAsia" w:cs="Times New Roman"/>
                <w:i w:val="0"/>
                <w:iCs w:val="0"/>
                <w:color w:val="000000"/>
                <w:kern w:val="0"/>
                <w:sz w:val="18"/>
                <w:szCs w:val="18"/>
                <w:u w:val="none"/>
                <w:lang w:val="en-US" w:eastAsia="zh-CN" w:bidi="ar"/>
                <w14:ligatures w14:val="none"/>
              </w:rPr>
              <w:t>;</w:t>
            </w: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 PA; Klebsiella pneumoniae</w:t>
            </w:r>
            <w:r>
              <w:rPr>
                <w:rFonts w:hint="eastAsia" w:cs="Times New Roman"/>
                <w:i w:val="0"/>
                <w:iCs w:val="0"/>
                <w:color w:val="000000"/>
                <w:kern w:val="0"/>
                <w:sz w:val="18"/>
                <w:szCs w:val="18"/>
                <w:u w:val="none"/>
                <w:lang w:val="en-US" w:eastAsia="zh-CN" w:bidi="ar"/>
                <w14:ligatures w14:val="none"/>
              </w:rPr>
              <w:t xml:space="preserve">; </w:t>
            </w:r>
            <w:r>
              <w:rPr>
                <w:rFonts w:hint="default" w:ascii="Times New Roman" w:hAnsi="Times New Roman" w:eastAsia="宋体" w:cs="Times New Roman"/>
                <w:i w:val="0"/>
                <w:iCs w:val="0"/>
                <w:color w:val="000000"/>
                <w:kern w:val="0"/>
                <w:sz w:val="18"/>
                <w:szCs w:val="18"/>
                <w:u w:val="none"/>
                <w:lang w:val="en-US" w:eastAsia="zh-CN" w:bidi="ar"/>
                <w14:ligatures w14:val="none"/>
              </w:rPr>
              <w:t>Stenotrophomonas maltophilia</w:t>
            </w:r>
            <w:r>
              <w:rPr>
                <w:rFonts w:hint="eastAsia" w:cs="Times New Roman"/>
                <w:i w:val="0"/>
                <w:iCs w:val="0"/>
                <w:color w:val="000000"/>
                <w:kern w:val="0"/>
                <w:sz w:val="18"/>
                <w:szCs w:val="18"/>
                <w:u w:val="none"/>
                <w:lang w:val="en-US" w:eastAsia="zh-CN" w:bidi="ar"/>
                <w14:ligatures w14:val="none"/>
              </w:rPr>
              <w:t xml:space="preserve">; </w:t>
            </w: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Enterobacter cloacae; Escherichia coli </w:t>
            </w:r>
          </w:p>
        </w:tc>
        <w:tc>
          <w:tcPr>
            <w:tcW w:w="1025" w:type="dxa"/>
            <w:tcBorders>
              <w:top w:val="nil"/>
              <w:left w:val="nil"/>
              <w:bottom w:val="nil"/>
              <w:right w:val="nil"/>
            </w:tcBorders>
            <w:shd w:val="clear" w:color="auto" w:fill="auto"/>
            <w:vAlign w:val="center"/>
          </w:tcPr>
          <w:p w14:paraId="3F913706">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VAP</w:t>
            </w:r>
          </w:p>
        </w:tc>
        <w:tc>
          <w:tcPr>
            <w:tcW w:w="1215" w:type="dxa"/>
            <w:tcBorders>
              <w:top w:val="nil"/>
              <w:left w:val="nil"/>
              <w:bottom w:val="nil"/>
              <w:right w:val="nil"/>
            </w:tcBorders>
            <w:shd w:val="clear" w:color="auto" w:fill="auto"/>
            <w:vAlign w:val="center"/>
          </w:tcPr>
          <w:p w14:paraId="4A0EE89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Combination: systemic antibiotic combined  CMS</w:t>
            </w:r>
          </w:p>
        </w:tc>
        <w:tc>
          <w:tcPr>
            <w:tcW w:w="2934" w:type="dxa"/>
            <w:tcBorders>
              <w:top w:val="nil"/>
              <w:left w:val="nil"/>
              <w:bottom w:val="nil"/>
              <w:right w:val="nil"/>
            </w:tcBorders>
            <w:shd w:val="clear" w:color="auto" w:fill="auto"/>
            <w:vAlign w:val="center"/>
          </w:tcPr>
          <w:p w14:paraId="0A14ADA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Every 12 h, 4 mL of CMS equivalent to 75 mg of colistin base reconstituted in 4 mL of NSS was delivered immediately on reconstitution via a jet or ultrasonic nebulizer for 10 min or until the nebulized solution container was empty.</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Duration: 28 days.</w:t>
            </w:r>
          </w:p>
        </w:tc>
        <w:tc>
          <w:tcPr>
            <w:tcW w:w="1868" w:type="dxa"/>
            <w:tcBorders>
              <w:top w:val="nil"/>
              <w:left w:val="nil"/>
              <w:bottom w:val="nil"/>
              <w:right w:val="nil"/>
            </w:tcBorders>
            <w:shd w:val="clear" w:color="auto" w:fill="auto"/>
            <w:vAlign w:val="center"/>
          </w:tcPr>
          <w:p w14:paraId="5204561D">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Monotherapy: systemic antibiotic </w:t>
            </w:r>
          </w:p>
        </w:tc>
        <w:tc>
          <w:tcPr>
            <w:tcW w:w="2690" w:type="dxa"/>
            <w:tcBorders>
              <w:top w:val="nil"/>
              <w:left w:val="nil"/>
              <w:bottom w:val="nil"/>
              <w:right w:val="nil"/>
            </w:tcBorders>
            <w:shd w:val="clear" w:color="auto" w:fill="auto"/>
            <w:vAlign w:val="center"/>
          </w:tcPr>
          <w:p w14:paraId="0A3A135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Every 12 h, 4 mL of NSS equivalent to 75 mg of colistin base reconstituted in 4 mL of NSS was delivered immediately on reconstitution via a jet or ultrasonic nebulizer for 10 min or until the nebulized solution container was empty.</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Duration: 28 days.</w:t>
            </w:r>
          </w:p>
        </w:tc>
      </w:tr>
      <w:tr w14:paraId="52CC2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01" w:type="dxa"/>
            <w:tcBorders>
              <w:top w:val="nil"/>
              <w:left w:val="nil"/>
              <w:bottom w:val="nil"/>
              <w:right w:val="nil"/>
            </w:tcBorders>
            <w:shd w:val="clear" w:color="auto" w:fill="auto"/>
            <w:vAlign w:val="center"/>
          </w:tcPr>
          <w:p w14:paraId="03130EBF">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Ammar 2018</w:t>
            </w:r>
          </w:p>
        </w:tc>
        <w:tc>
          <w:tcPr>
            <w:tcW w:w="1042" w:type="dxa"/>
            <w:tcBorders>
              <w:top w:val="nil"/>
              <w:left w:val="nil"/>
              <w:bottom w:val="nil"/>
              <w:right w:val="nil"/>
            </w:tcBorders>
            <w:shd w:val="clear" w:color="auto" w:fill="auto"/>
            <w:vAlign w:val="center"/>
          </w:tcPr>
          <w:p w14:paraId="6BB6DA8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RCT</w:t>
            </w:r>
          </w:p>
        </w:tc>
        <w:tc>
          <w:tcPr>
            <w:tcW w:w="876" w:type="dxa"/>
            <w:tcBorders>
              <w:top w:val="nil"/>
              <w:left w:val="nil"/>
              <w:bottom w:val="nil"/>
              <w:right w:val="nil"/>
            </w:tcBorders>
            <w:shd w:val="clear" w:color="auto" w:fill="auto"/>
            <w:vAlign w:val="center"/>
          </w:tcPr>
          <w:p w14:paraId="607B71D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Egypt</w:t>
            </w:r>
          </w:p>
        </w:tc>
        <w:tc>
          <w:tcPr>
            <w:tcW w:w="925" w:type="dxa"/>
            <w:tcBorders>
              <w:top w:val="nil"/>
              <w:left w:val="nil"/>
              <w:bottom w:val="nil"/>
              <w:right w:val="nil"/>
            </w:tcBorders>
            <w:shd w:val="clear" w:color="auto" w:fill="auto"/>
            <w:vAlign w:val="center"/>
          </w:tcPr>
          <w:p w14:paraId="04DE9926">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I: 30; C: 30 </w:t>
            </w:r>
          </w:p>
        </w:tc>
        <w:tc>
          <w:tcPr>
            <w:tcW w:w="1149" w:type="dxa"/>
            <w:tcBorders>
              <w:top w:val="nil"/>
              <w:left w:val="nil"/>
              <w:bottom w:val="nil"/>
              <w:right w:val="nil"/>
            </w:tcBorders>
            <w:shd w:val="clear" w:color="auto" w:fill="auto"/>
            <w:vAlign w:val="center"/>
          </w:tcPr>
          <w:p w14:paraId="62851DE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54.85 (4.33); C: 55.5 (3.85)</w:t>
            </w:r>
          </w:p>
        </w:tc>
        <w:tc>
          <w:tcPr>
            <w:tcW w:w="1314" w:type="dxa"/>
            <w:tcBorders>
              <w:top w:val="nil"/>
              <w:left w:val="nil"/>
              <w:bottom w:val="nil"/>
              <w:right w:val="nil"/>
            </w:tcBorders>
            <w:shd w:val="clear" w:color="auto" w:fill="auto"/>
            <w:vAlign w:val="center"/>
          </w:tcPr>
          <w:p w14:paraId="065B0DB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Gram</w:t>
            </w:r>
            <w:r>
              <w:rPr>
                <w:rFonts w:hint="default" w:ascii="Times New Roman" w:hAnsi="Times New Roman" w:eastAsia="宋体" w:cs="Times New Roman"/>
                <w:i w:val="0"/>
                <w:iCs w:val="0"/>
                <w:color w:val="000000"/>
                <w:kern w:val="0"/>
                <w:sz w:val="18"/>
                <w:szCs w:val="18"/>
                <w:u w:val="none"/>
                <w:lang w:val="en-US" w:eastAsia="zh-CN" w:bidi="ar"/>
                <w14:ligatures w14:val="none"/>
              </w:rPr>
              <w:noBreakHyphen/>
            </w:r>
            <w:r>
              <w:rPr>
                <w:rFonts w:hint="default" w:ascii="Times New Roman" w:hAnsi="Times New Roman" w:eastAsia="宋体" w:cs="Times New Roman"/>
                <w:i w:val="0"/>
                <w:iCs w:val="0"/>
                <w:color w:val="000000"/>
                <w:kern w:val="0"/>
                <w:sz w:val="18"/>
                <w:szCs w:val="18"/>
                <w:u w:val="none"/>
                <w:lang w:val="en-US" w:eastAsia="zh-CN" w:bidi="ar"/>
                <w14:ligatures w14:val="none"/>
              </w:rPr>
              <w:t>negative MDRO</w:t>
            </w:r>
          </w:p>
        </w:tc>
        <w:tc>
          <w:tcPr>
            <w:tcW w:w="1025" w:type="dxa"/>
            <w:tcBorders>
              <w:top w:val="nil"/>
              <w:left w:val="nil"/>
              <w:bottom w:val="nil"/>
              <w:right w:val="nil"/>
            </w:tcBorders>
            <w:shd w:val="clear" w:color="auto" w:fill="auto"/>
            <w:vAlign w:val="center"/>
          </w:tcPr>
          <w:p w14:paraId="35FD1AD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VAP</w:t>
            </w:r>
          </w:p>
        </w:tc>
        <w:tc>
          <w:tcPr>
            <w:tcW w:w="1215" w:type="dxa"/>
            <w:tcBorders>
              <w:top w:val="nil"/>
              <w:left w:val="nil"/>
              <w:bottom w:val="nil"/>
              <w:right w:val="nil"/>
            </w:tcBorders>
            <w:shd w:val="clear" w:color="auto" w:fill="auto"/>
            <w:vAlign w:val="center"/>
          </w:tcPr>
          <w:p w14:paraId="12FDF9D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Combination: (amikacin + meropenem) combined  amikacin nebulize</w:t>
            </w:r>
          </w:p>
        </w:tc>
        <w:tc>
          <w:tcPr>
            <w:tcW w:w="2934" w:type="dxa"/>
            <w:tcBorders>
              <w:top w:val="nil"/>
              <w:left w:val="nil"/>
              <w:bottom w:val="nil"/>
              <w:right w:val="nil"/>
            </w:tcBorders>
            <w:shd w:val="clear" w:color="auto" w:fill="auto"/>
            <w:vAlign w:val="center"/>
          </w:tcPr>
          <w:p w14:paraId="40A7B5E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Amikacin 20 mg/kg diluted in 100 ml NS to be given over 1 h/24 h, meropenem 2 g diluted in 100 ml over 30 min/8 h, and amikacin 25 mg/kg/day to be divided every 8 h and diluted in 4 ml NS nebulized by an ultrasound nebulizer.</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Duration: NR</w:t>
            </w:r>
          </w:p>
        </w:tc>
        <w:tc>
          <w:tcPr>
            <w:tcW w:w="1868" w:type="dxa"/>
            <w:tcBorders>
              <w:top w:val="nil"/>
              <w:left w:val="nil"/>
              <w:bottom w:val="nil"/>
              <w:right w:val="nil"/>
            </w:tcBorders>
            <w:shd w:val="clear" w:color="auto" w:fill="auto"/>
            <w:vAlign w:val="center"/>
          </w:tcPr>
          <w:p w14:paraId="39BEB19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Monotherapy:amikacin + meropenem</w:t>
            </w:r>
          </w:p>
        </w:tc>
        <w:tc>
          <w:tcPr>
            <w:tcW w:w="2690" w:type="dxa"/>
            <w:tcBorders>
              <w:top w:val="nil"/>
              <w:left w:val="nil"/>
              <w:bottom w:val="nil"/>
              <w:right w:val="nil"/>
            </w:tcBorders>
            <w:shd w:val="clear" w:color="auto" w:fill="auto"/>
            <w:vAlign w:val="center"/>
          </w:tcPr>
          <w:p w14:paraId="3DA17C55">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Amikacin 20 mg/kg diluted in 100 ml normal saline (NS) to be given over 1 h/24 h and meropenem 2 g diluted in 100 ml NS over 30 min/8 h.</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Duration: NR</w:t>
            </w:r>
          </w:p>
        </w:tc>
      </w:tr>
      <w:tr w14:paraId="2DA0F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01" w:type="dxa"/>
            <w:tcBorders>
              <w:top w:val="nil"/>
              <w:left w:val="nil"/>
              <w:bottom w:val="nil"/>
              <w:right w:val="nil"/>
            </w:tcBorders>
            <w:shd w:val="clear" w:color="auto" w:fill="auto"/>
            <w:vAlign w:val="center"/>
          </w:tcPr>
          <w:p w14:paraId="21F24FB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Korbila 2009</w:t>
            </w:r>
          </w:p>
        </w:tc>
        <w:tc>
          <w:tcPr>
            <w:tcW w:w="1042" w:type="dxa"/>
            <w:tcBorders>
              <w:top w:val="nil"/>
              <w:left w:val="nil"/>
              <w:bottom w:val="nil"/>
              <w:right w:val="nil"/>
            </w:tcBorders>
            <w:shd w:val="clear" w:color="auto" w:fill="auto"/>
            <w:vAlign w:val="center"/>
          </w:tcPr>
          <w:p w14:paraId="092CEE9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Retrospective study</w:t>
            </w:r>
          </w:p>
        </w:tc>
        <w:tc>
          <w:tcPr>
            <w:tcW w:w="876" w:type="dxa"/>
            <w:tcBorders>
              <w:top w:val="nil"/>
              <w:left w:val="nil"/>
              <w:bottom w:val="nil"/>
              <w:right w:val="nil"/>
            </w:tcBorders>
            <w:shd w:val="clear" w:color="auto" w:fill="auto"/>
            <w:vAlign w:val="center"/>
          </w:tcPr>
          <w:p w14:paraId="3B4C4F0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Greece</w:t>
            </w:r>
          </w:p>
        </w:tc>
        <w:tc>
          <w:tcPr>
            <w:tcW w:w="925" w:type="dxa"/>
            <w:tcBorders>
              <w:top w:val="nil"/>
              <w:left w:val="nil"/>
              <w:bottom w:val="nil"/>
              <w:right w:val="nil"/>
            </w:tcBorders>
            <w:shd w:val="clear" w:color="auto" w:fill="auto"/>
            <w:vAlign w:val="center"/>
          </w:tcPr>
          <w:p w14:paraId="02FB5656">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78; C: 43</w:t>
            </w:r>
          </w:p>
        </w:tc>
        <w:tc>
          <w:tcPr>
            <w:tcW w:w="1149" w:type="dxa"/>
            <w:tcBorders>
              <w:top w:val="nil"/>
              <w:left w:val="nil"/>
              <w:bottom w:val="nil"/>
              <w:right w:val="nil"/>
            </w:tcBorders>
            <w:shd w:val="clear" w:color="auto" w:fill="auto"/>
            <w:vAlign w:val="center"/>
          </w:tcPr>
          <w:p w14:paraId="1584029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59.2 ( 19.2); C:  60.9 (15.7)</w:t>
            </w:r>
          </w:p>
        </w:tc>
        <w:tc>
          <w:tcPr>
            <w:tcW w:w="1314" w:type="dxa"/>
            <w:tcBorders>
              <w:top w:val="nil"/>
              <w:left w:val="nil"/>
              <w:bottom w:val="nil"/>
              <w:right w:val="nil"/>
            </w:tcBorders>
            <w:shd w:val="clear" w:color="auto" w:fill="auto"/>
            <w:vAlign w:val="center"/>
          </w:tcPr>
          <w:p w14:paraId="4E7B2C8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Acinetobacter baumannii: n=57/35; PA: n=17/5; Klebsiella pneumoniae: n=4/3;</w:t>
            </w:r>
          </w:p>
        </w:tc>
        <w:tc>
          <w:tcPr>
            <w:tcW w:w="1025" w:type="dxa"/>
            <w:tcBorders>
              <w:top w:val="nil"/>
              <w:left w:val="nil"/>
              <w:bottom w:val="nil"/>
              <w:right w:val="nil"/>
            </w:tcBorders>
            <w:shd w:val="clear" w:color="auto" w:fill="auto"/>
            <w:vAlign w:val="center"/>
          </w:tcPr>
          <w:p w14:paraId="59ED932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VAP</w:t>
            </w:r>
          </w:p>
        </w:tc>
        <w:tc>
          <w:tcPr>
            <w:tcW w:w="1215" w:type="dxa"/>
            <w:tcBorders>
              <w:top w:val="nil"/>
              <w:left w:val="nil"/>
              <w:bottom w:val="nil"/>
              <w:right w:val="nil"/>
            </w:tcBorders>
            <w:shd w:val="clear" w:color="auto" w:fill="auto"/>
            <w:vAlign w:val="center"/>
          </w:tcPr>
          <w:p w14:paraId="60AEA57F">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Combination: Aerosolized combined  intravenous colistin</w:t>
            </w:r>
          </w:p>
        </w:tc>
        <w:tc>
          <w:tcPr>
            <w:tcW w:w="2934" w:type="dxa"/>
            <w:tcBorders>
              <w:top w:val="nil"/>
              <w:left w:val="nil"/>
              <w:bottom w:val="nil"/>
              <w:right w:val="nil"/>
            </w:tcBorders>
            <w:shd w:val="clear" w:color="auto" w:fill="auto"/>
            <w:vAlign w:val="center"/>
          </w:tcPr>
          <w:p w14:paraId="3C6F5AF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D daily dose of inhaled colistin was 2.1 ± 0.9 million IU，The great majority (91.0%) of the group of patients</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who received i.v. plus inhaled colistin started inhaled colistin</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within 4 days of the i.v. administration.</w:t>
            </w:r>
          </w:p>
        </w:tc>
        <w:tc>
          <w:tcPr>
            <w:tcW w:w="1868" w:type="dxa"/>
            <w:tcBorders>
              <w:top w:val="nil"/>
              <w:left w:val="nil"/>
              <w:bottom w:val="nil"/>
              <w:right w:val="nil"/>
            </w:tcBorders>
            <w:shd w:val="clear" w:color="auto" w:fill="auto"/>
            <w:vAlign w:val="center"/>
          </w:tcPr>
          <w:p w14:paraId="20877862">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Monotherapy: IV colistin</w:t>
            </w:r>
          </w:p>
        </w:tc>
        <w:tc>
          <w:tcPr>
            <w:tcW w:w="2690" w:type="dxa"/>
            <w:tcBorders>
              <w:top w:val="nil"/>
              <w:left w:val="nil"/>
              <w:bottom w:val="nil"/>
              <w:right w:val="nil"/>
            </w:tcBorders>
            <w:shd w:val="clear" w:color="auto" w:fill="auto"/>
            <w:vAlign w:val="center"/>
          </w:tcPr>
          <w:p w14:paraId="0F8087C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未报道</w:t>
            </w:r>
          </w:p>
        </w:tc>
      </w:tr>
      <w:tr w14:paraId="4B161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01" w:type="dxa"/>
            <w:tcBorders>
              <w:top w:val="nil"/>
              <w:left w:val="nil"/>
              <w:bottom w:val="nil"/>
              <w:right w:val="nil"/>
            </w:tcBorders>
            <w:shd w:val="clear" w:color="auto" w:fill="auto"/>
            <w:vAlign w:val="center"/>
          </w:tcPr>
          <w:p w14:paraId="3627A9E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Kofteridis 2010</w:t>
            </w:r>
          </w:p>
        </w:tc>
        <w:tc>
          <w:tcPr>
            <w:tcW w:w="1042" w:type="dxa"/>
            <w:tcBorders>
              <w:top w:val="nil"/>
              <w:left w:val="nil"/>
              <w:bottom w:val="nil"/>
              <w:right w:val="nil"/>
            </w:tcBorders>
            <w:shd w:val="clear" w:color="auto" w:fill="auto"/>
            <w:vAlign w:val="center"/>
          </w:tcPr>
          <w:p w14:paraId="40C7C68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Retrospective case-control matching study</w:t>
            </w:r>
          </w:p>
        </w:tc>
        <w:tc>
          <w:tcPr>
            <w:tcW w:w="876" w:type="dxa"/>
            <w:tcBorders>
              <w:top w:val="nil"/>
              <w:left w:val="nil"/>
              <w:bottom w:val="nil"/>
              <w:right w:val="nil"/>
            </w:tcBorders>
            <w:shd w:val="clear" w:color="auto" w:fill="auto"/>
            <w:vAlign w:val="center"/>
          </w:tcPr>
          <w:p w14:paraId="7EBB289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Greece</w:t>
            </w:r>
          </w:p>
        </w:tc>
        <w:tc>
          <w:tcPr>
            <w:tcW w:w="925" w:type="dxa"/>
            <w:tcBorders>
              <w:top w:val="nil"/>
              <w:left w:val="nil"/>
              <w:bottom w:val="nil"/>
              <w:right w:val="nil"/>
            </w:tcBorders>
            <w:shd w:val="clear" w:color="auto" w:fill="auto"/>
            <w:vAlign w:val="center"/>
          </w:tcPr>
          <w:p w14:paraId="786A1416">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43; C: 43</w:t>
            </w:r>
          </w:p>
        </w:tc>
        <w:tc>
          <w:tcPr>
            <w:tcW w:w="1149" w:type="dxa"/>
            <w:tcBorders>
              <w:top w:val="nil"/>
              <w:left w:val="nil"/>
              <w:bottom w:val="nil"/>
              <w:right w:val="nil"/>
            </w:tcBorders>
            <w:shd w:val="clear" w:color="auto" w:fill="auto"/>
            <w:vAlign w:val="center"/>
          </w:tcPr>
          <w:p w14:paraId="6B132B9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62.35 (14.92); C: 62.00 (15.14)</w:t>
            </w:r>
          </w:p>
        </w:tc>
        <w:tc>
          <w:tcPr>
            <w:tcW w:w="1314" w:type="dxa"/>
            <w:tcBorders>
              <w:top w:val="nil"/>
              <w:left w:val="nil"/>
              <w:bottom w:val="nil"/>
              <w:right w:val="nil"/>
            </w:tcBorders>
            <w:shd w:val="clear" w:color="auto" w:fill="auto"/>
            <w:vAlign w:val="center"/>
          </w:tcPr>
          <w:p w14:paraId="3966EEE2">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Acinetobacter baumannii: n=35/31; PA: n=3/5; Klebsiella pneumoniae: n=5/7, susceptible only to colistin.</w:t>
            </w:r>
          </w:p>
        </w:tc>
        <w:tc>
          <w:tcPr>
            <w:tcW w:w="1025" w:type="dxa"/>
            <w:tcBorders>
              <w:top w:val="nil"/>
              <w:left w:val="nil"/>
              <w:bottom w:val="nil"/>
              <w:right w:val="nil"/>
            </w:tcBorders>
            <w:shd w:val="clear" w:color="auto" w:fill="auto"/>
            <w:vAlign w:val="center"/>
          </w:tcPr>
          <w:p w14:paraId="3D6985E5">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VAP</w:t>
            </w:r>
          </w:p>
        </w:tc>
        <w:tc>
          <w:tcPr>
            <w:tcW w:w="1215" w:type="dxa"/>
            <w:tcBorders>
              <w:top w:val="nil"/>
              <w:left w:val="nil"/>
              <w:bottom w:val="nil"/>
              <w:right w:val="nil"/>
            </w:tcBorders>
            <w:shd w:val="clear" w:color="auto" w:fill="auto"/>
            <w:vAlign w:val="center"/>
          </w:tcPr>
          <w:p w14:paraId="5257A17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Combination:Aerosolized combined intravenous colistin </w:t>
            </w:r>
          </w:p>
        </w:tc>
        <w:tc>
          <w:tcPr>
            <w:tcW w:w="2934" w:type="dxa"/>
            <w:tcBorders>
              <w:top w:val="nil"/>
              <w:left w:val="nil"/>
              <w:bottom w:val="nil"/>
              <w:right w:val="nil"/>
            </w:tcBorders>
            <w:shd w:val="clear" w:color="auto" w:fill="auto"/>
            <w:vAlign w:val="center"/>
          </w:tcPr>
          <w:p w14:paraId="663C88E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AS colistin was 2 million international units (IU) divided into 2 doses, the daily dose of IV colistin was 9 million IU divided into 3 doses. </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Duration: median days (range): 13(5-56).</w:t>
            </w:r>
          </w:p>
        </w:tc>
        <w:tc>
          <w:tcPr>
            <w:tcW w:w="1868" w:type="dxa"/>
            <w:tcBorders>
              <w:top w:val="nil"/>
              <w:left w:val="nil"/>
              <w:bottom w:val="nil"/>
              <w:right w:val="nil"/>
            </w:tcBorders>
            <w:shd w:val="clear" w:color="auto" w:fill="auto"/>
            <w:vAlign w:val="center"/>
          </w:tcPr>
          <w:p w14:paraId="740E799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Monotherapy:IV colistin </w:t>
            </w:r>
          </w:p>
        </w:tc>
        <w:tc>
          <w:tcPr>
            <w:tcW w:w="2690" w:type="dxa"/>
            <w:tcBorders>
              <w:top w:val="nil"/>
              <w:left w:val="nil"/>
              <w:bottom w:val="nil"/>
              <w:right w:val="nil"/>
            </w:tcBorders>
            <w:shd w:val="clear" w:color="auto" w:fill="auto"/>
            <w:vAlign w:val="center"/>
          </w:tcPr>
          <w:p w14:paraId="5B494B5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IV colistin was 9 million IU divided into 3 doses in patients with normal</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renal function. Duration: median days (range): 10(4-36)</w:t>
            </w:r>
          </w:p>
        </w:tc>
      </w:tr>
      <w:tr w14:paraId="14D27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01" w:type="dxa"/>
            <w:tcBorders>
              <w:top w:val="nil"/>
              <w:left w:val="nil"/>
              <w:bottom w:val="nil"/>
              <w:right w:val="nil"/>
            </w:tcBorders>
            <w:shd w:val="clear" w:color="auto" w:fill="auto"/>
            <w:vAlign w:val="center"/>
          </w:tcPr>
          <w:p w14:paraId="6B417D7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Amin 2013</w:t>
            </w:r>
          </w:p>
        </w:tc>
        <w:tc>
          <w:tcPr>
            <w:tcW w:w="1042" w:type="dxa"/>
            <w:tcBorders>
              <w:top w:val="nil"/>
              <w:left w:val="nil"/>
              <w:bottom w:val="nil"/>
              <w:right w:val="nil"/>
            </w:tcBorders>
            <w:shd w:val="clear" w:color="auto" w:fill="auto"/>
            <w:vAlign w:val="center"/>
          </w:tcPr>
          <w:p w14:paraId="04F74CE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Retrospective study</w:t>
            </w:r>
          </w:p>
        </w:tc>
        <w:tc>
          <w:tcPr>
            <w:tcW w:w="876" w:type="dxa"/>
            <w:tcBorders>
              <w:top w:val="nil"/>
              <w:left w:val="nil"/>
              <w:bottom w:val="nil"/>
              <w:right w:val="nil"/>
            </w:tcBorders>
            <w:shd w:val="clear" w:color="auto" w:fill="auto"/>
            <w:vAlign w:val="center"/>
          </w:tcPr>
          <w:p w14:paraId="0FDAC48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Egypt</w:t>
            </w:r>
          </w:p>
        </w:tc>
        <w:tc>
          <w:tcPr>
            <w:tcW w:w="925" w:type="dxa"/>
            <w:tcBorders>
              <w:top w:val="nil"/>
              <w:left w:val="nil"/>
              <w:bottom w:val="nil"/>
              <w:right w:val="nil"/>
            </w:tcBorders>
            <w:shd w:val="clear" w:color="auto" w:fill="auto"/>
            <w:vAlign w:val="center"/>
          </w:tcPr>
          <w:p w14:paraId="64D99C63">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28; C: 12</w:t>
            </w:r>
          </w:p>
        </w:tc>
        <w:tc>
          <w:tcPr>
            <w:tcW w:w="1149" w:type="dxa"/>
            <w:tcBorders>
              <w:top w:val="nil"/>
              <w:left w:val="nil"/>
              <w:bottom w:val="nil"/>
              <w:right w:val="nil"/>
            </w:tcBorders>
            <w:shd w:val="clear" w:color="auto" w:fill="auto"/>
            <w:vAlign w:val="center"/>
          </w:tcPr>
          <w:p w14:paraId="29D77AF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55.6 ( 21.9); C: 60.5 (4.5)</w:t>
            </w:r>
          </w:p>
        </w:tc>
        <w:tc>
          <w:tcPr>
            <w:tcW w:w="1314" w:type="dxa"/>
            <w:tcBorders>
              <w:top w:val="nil"/>
              <w:left w:val="nil"/>
              <w:bottom w:val="nil"/>
              <w:right w:val="nil"/>
            </w:tcBorders>
            <w:shd w:val="clear" w:color="auto" w:fill="auto"/>
            <w:vAlign w:val="center"/>
          </w:tcPr>
          <w:p w14:paraId="2ED1B90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Acinetobacter baumannii: n=18/8; PA: n=7/3; Klebsiella pneumoniae: n=3/1</w:t>
            </w:r>
          </w:p>
        </w:tc>
        <w:tc>
          <w:tcPr>
            <w:tcW w:w="1025" w:type="dxa"/>
            <w:tcBorders>
              <w:top w:val="nil"/>
              <w:left w:val="nil"/>
              <w:bottom w:val="nil"/>
              <w:right w:val="nil"/>
            </w:tcBorders>
            <w:shd w:val="clear" w:color="auto" w:fill="auto"/>
            <w:vAlign w:val="center"/>
          </w:tcPr>
          <w:p w14:paraId="3D2FE612">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ICU-AP or VAP</w:t>
            </w:r>
          </w:p>
        </w:tc>
        <w:tc>
          <w:tcPr>
            <w:tcW w:w="1215" w:type="dxa"/>
            <w:tcBorders>
              <w:top w:val="nil"/>
              <w:left w:val="nil"/>
              <w:bottom w:val="nil"/>
              <w:right w:val="nil"/>
            </w:tcBorders>
            <w:shd w:val="clear" w:color="auto" w:fill="auto"/>
            <w:vAlign w:val="center"/>
          </w:tcPr>
          <w:p w14:paraId="44FD24A0">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Combination:  Intravenous combined  Inhalation colistin</w:t>
            </w:r>
          </w:p>
        </w:tc>
        <w:tc>
          <w:tcPr>
            <w:tcW w:w="2934" w:type="dxa"/>
            <w:tcBorders>
              <w:top w:val="nil"/>
              <w:left w:val="nil"/>
              <w:bottom w:val="nil"/>
              <w:right w:val="nil"/>
            </w:tcBorders>
            <w:shd w:val="clear" w:color="auto" w:fill="auto"/>
            <w:vAlign w:val="center"/>
          </w:tcPr>
          <w:p w14:paraId="04994E7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IV colistin as a dose of 1–2 million IU every 6–8 h (62500 IU/kg/day)，12–15 days with close monitoring for the possibility of nephrotoxicity and neurotoxicity. Administration of inhaled colistin: in patients under mechanical ventilation (MV), 2 million IU colistin was diluted in 2 mL sterile normal saline 0.9% and delivered via the ventilator every 12 h. In spontaneously breathing patients, 2 million IU of colistin was diluted in 4 mL of normal saline and nebulized with 8 L/min oxygen flow. </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Duration: 12–15 days.</w:t>
            </w:r>
          </w:p>
        </w:tc>
        <w:tc>
          <w:tcPr>
            <w:tcW w:w="1868" w:type="dxa"/>
            <w:tcBorders>
              <w:top w:val="nil"/>
              <w:left w:val="nil"/>
              <w:bottom w:val="nil"/>
              <w:right w:val="nil"/>
            </w:tcBorders>
            <w:shd w:val="clear" w:color="auto" w:fill="auto"/>
            <w:vAlign w:val="center"/>
          </w:tcPr>
          <w:p w14:paraId="55BEB26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Monotherapy: IV colistin</w:t>
            </w:r>
          </w:p>
        </w:tc>
        <w:tc>
          <w:tcPr>
            <w:tcW w:w="2690" w:type="dxa"/>
            <w:tcBorders>
              <w:top w:val="nil"/>
              <w:left w:val="nil"/>
              <w:bottom w:val="nil"/>
              <w:right w:val="nil"/>
            </w:tcBorders>
            <w:shd w:val="clear" w:color="auto" w:fill="auto"/>
            <w:vAlign w:val="center"/>
          </w:tcPr>
          <w:p w14:paraId="1D86894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IV colistin as a dose of 1–2 million IU every 6–8 h (62500 IU/kg/day) according to body weight with normal renal function.  Treatment continued for 12–15 days with close monitoring for the possibility of nephrotoxicity and neurotoxicity.</w:t>
            </w:r>
          </w:p>
        </w:tc>
      </w:tr>
      <w:tr w14:paraId="381FB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701" w:type="dxa"/>
            <w:tcBorders>
              <w:top w:val="nil"/>
              <w:left w:val="nil"/>
              <w:bottom w:val="nil"/>
              <w:right w:val="nil"/>
            </w:tcBorders>
            <w:shd w:val="clear" w:color="auto" w:fill="auto"/>
            <w:vAlign w:val="center"/>
          </w:tcPr>
          <w:p w14:paraId="20BE92D5">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Tumbarello 2013</w:t>
            </w:r>
          </w:p>
        </w:tc>
        <w:tc>
          <w:tcPr>
            <w:tcW w:w="1042" w:type="dxa"/>
            <w:tcBorders>
              <w:top w:val="nil"/>
              <w:left w:val="nil"/>
              <w:bottom w:val="nil"/>
              <w:right w:val="nil"/>
            </w:tcBorders>
            <w:shd w:val="clear" w:color="auto" w:fill="auto"/>
            <w:vAlign w:val="center"/>
          </w:tcPr>
          <w:p w14:paraId="5614759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Retrospective matched-cohort study</w:t>
            </w:r>
          </w:p>
        </w:tc>
        <w:tc>
          <w:tcPr>
            <w:tcW w:w="876" w:type="dxa"/>
            <w:tcBorders>
              <w:top w:val="nil"/>
              <w:left w:val="nil"/>
              <w:bottom w:val="nil"/>
              <w:right w:val="nil"/>
            </w:tcBorders>
            <w:shd w:val="clear" w:color="auto" w:fill="auto"/>
            <w:vAlign w:val="center"/>
          </w:tcPr>
          <w:p w14:paraId="7A84215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Italy</w:t>
            </w:r>
          </w:p>
        </w:tc>
        <w:tc>
          <w:tcPr>
            <w:tcW w:w="925" w:type="dxa"/>
            <w:tcBorders>
              <w:top w:val="nil"/>
              <w:left w:val="nil"/>
              <w:bottom w:val="nil"/>
              <w:right w:val="nil"/>
            </w:tcBorders>
            <w:shd w:val="clear" w:color="auto" w:fill="auto"/>
            <w:vAlign w:val="center"/>
          </w:tcPr>
          <w:p w14:paraId="554B2B6A">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104; C: 104</w:t>
            </w:r>
          </w:p>
        </w:tc>
        <w:tc>
          <w:tcPr>
            <w:tcW w:w="1149" w:type="dxa"/>
            <w:tcBorders>
              <w:top w:val="nil"/>
              <w:left w:val="nil"/>
              <w:bottom w:val="nil"/>
              <w:right w:val="nil"/>
            </w:tcBorders>
            <w:shd w:val="clear" w:color="auto" w:fill="auto"/>
            <w:vAlign w:val="center"/>
          </w:tcPr>
          <w:p w14:paraId="3A5B1375">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64 IQR: (48.5-76.5); C: 66 IQR: (49-77)</w:t>
            </w:r>
          </w:p>
        </w:tc>
        <w:tc>
          <w:tcPr>
            <w:tcW w:w="1314" w:type="dxa"/>
            <w:tcBorders>
              <w:top w:val="nil"/>
              <w:left w:val="nil"/>
              <w:bottom w:val="nil"/>
              <w:right w:val="nil"/>
            </w:tcBorders>
            <w:shd w:val="clear" w:color="auto" w:fill="auto"/>
            <w:vAlign w:val="center"/>
          </w:tcPr>
          <w:p w14:paraId="4C485E6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Acinetobacter baumannii: n=72/56; PA: n=24/28; Klebsiella pneumoniae: n=8/20;</w:t>
            </w:r>
          </w:p>
        </w:tc>
        <w:tc>
          <w:tcPr>
            <w:tcW w:w="1025" w:type="dxa"/>
            <w:tcBorders>
              <w:top w:val="nil"/>
              <w:left w:val="nil"/>
              <w:bottom w:val="nil"/>
              <w:right w:val="nil"/>
            </w:tcBorders>
            <w:shd w:val="clear" w:color="auto" w:fill="auto"/>
            <w:vAlign w:val="center"/>
          </w:tcPr>
          <w:p w14:paraId="0CA3A83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VAP</w:t>
            </w:r>
          </w:p>
        </w:tc>
        <w:tc>
          <w:tcPr>
            <w:tcW w:w="1215" w:type="dxa"/>
            <w:tcBorders>
              <w:top w:val="nil"/>
              <w:left w:val="nil"/>
              <w:bottom w:val="nil"/>
              <w:right w:val="nil"/>
            </w:tcBorders>
            <w:shd w:val="clear" w:color="auto" w:fill="auto"/>
            <w:vAlign w:val="center"/>
          </w:tcPr>
          <w:p w14:paraId="3F376D5F">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Combination: Aerosolized combined intravenous colistin</w:t>
            </w:r>
          </w:p>
        </w:tc>
        <w:tc>
          <w:tcPr>
            <w:tcW w:w="2934" w:type="dxa"/>
            <w:tcBorders>
              <w:top w:val="nil"/>
              <w:left w:val="nil"/>
              <w:bottom w:val="nil"/>
              <w:right w:val="nil"/>
            </w:tcBorders>
            <w:shd w:val="clear" w:color="auto" w:fill="auto"/>
            <w:vAlign w:val="center"/>
          </w:tcPr>
          <w:p w14:paraId="67C8786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IV colistimethate sodium administered every 8 to 12 h, daily 100,000 International Units / Kg (a dose of 75,000 International Units in patients with creatinine clearance rates &lt;50 mL/min and those on continuous renal replacement therapy).Three times a day via jet or ultrasonic nebulizers (total daily dose,3 million International Units). </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Duration of colistin treatment, median (IQR): 7(5-14)</w:t>
            </w:r>
          </w:p>
        </w:tc>
        <w:tc>
          <w:tcPr>
            <w:tcW w:w="1868" w:type="dxa"/>
            <w:tcBorders>
              <w:top w:val="nil"/>
              <w:left w:val="nil"/>
              <w:bottom w:val="nil"/>
              <w:right w:val="nil"/>
            </w:tcBorders>
            <w:shd w:val="clear" w:color="auto" w:fill="auto"/>
            <w:vAlign w:val="center"/>
          </w:tcPr>
          <w:p w14:paraId="3C79F9A0">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Monotherapy: IV colistin</w:t>
            </w:r>
          </w:p>
        </w:tc>
        <w:tc>
          <w:tcPr>
            <w:tcW w:w="2690" w:type="dxa"/>
            <w:tcBorders>
              <w:top w:val="nil"/>
              <w:left w:val="nil"/>
              <w:bottom w:val="nil"/>
              <w:right w:val="nil"/>
            </w:tcBorders>
            <w:shd w:val="clear" w:color="auto" w:fill="auto"/>
            <w:vAlign w:val="center"/>
          </w:tcPr>
          <w:p w14:paraId="00B7869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IV colistimethate sodium was administered every 8 to 12 h at daily per-kilogram doses of approximately 100,000 International Units (a dose of 75,000 International Units in patients with creatinine clearance rates &lt; 50 mL/min and those on continuous renal replacement therapy).</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Duration of colistin treatment, median (IQR): 10(5.5-15);</w:t>
            </w:r>
          </w:p>
        </w:tc>
      </w:tr>
      <w:tr w14:paraId="43997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01" w:type="dxa"/>
            <w:tcBorders>
              <w:top w:val="nil"/>
              <w:left w:val="nil"/>
              <w:bottom w:val="nil"/>
              <w:right w:val="nil"/>
            </w:tcBorders>
            <w:shd w:val="clear" w:color="auto" w:fill="auto"/>
            <w:vAlign w:val="center"/>
          </w:tcPr>
          <w:p w14:paraId="406B65F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Almangour 2021</w:t>
            </w:r>
          </w:p>
        </w:tc>
        <w:tc>
          <w:tcPr>
            <w:tcW w:w="1042" w:type="dxa"/>
            <w:tcBorders>
              <w:top w:val="nil"/>
              <w:left w:val="nil"/>
              <w:bottom w:val="nil"/>
              <w:right w:val="nil"/>
            </w:tcBorders>
            <w:shd w:val="clear" w:color="auto" w:fill="auto"/>
            <w:vAlign w:val="center"/>
          </w:tcPr>
          <w:p w14:paraId="58214B25">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Retrospective cohort study</w:t>
            </w:r>
          </w:p>
        </w:tc>
        <w:tc>
          <w:tcPr>
            <w:tcW w:w="876" w:type="dxa"/>
            <w:tcBorders>
              <w:top w:val="nil"/>
              <w:left w:val="nil"/>
              <w:bottom w:val="nil"/>
              <w:right w:val="nil"/>
            </w:tcBorders>
            <w:shd w:val="clear" w:color="auto" w:fill="auto"/>
            <w:vAlign w:val="center"/>
          </w:tcPr>
          <w:p w14:paraId="21C32EE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Saudi Arabia</w:t>
            </w:r>
          </w:p>
        </w:tc>
        <w:tc>
          <w:tcPr>
            <w:tcW w:w="925" w:type="dxa"/>
            <w:tcBorders>
              <w:top w:val="nil"/>
              <w:left w:val="nil"/>
              <w:bottom w:val="nil"/>
              <w:right w:val="nil"/>
            </w:tcBorders>
            <w:shd w:val="clear" w:color="auto" w:fill="auto"/>
            <w:vAlign w:val="center"/>
          </w:tcPr>
          <w:p w14:paraId="00E8439D">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65; C: 70</w:t>
            </w:r>
          </w:p>
        </w:tc>
        <w:tc>
          <w:tcPr>
            <w:tcW w:w="1149" w:type="dxa"/>
            <w:tcBorders>
              <w:top w:val="nil"/>
              <w:left w:val="nil"/>
              <w:bottom w:val="nil"/>
              <w:right w:val="nil"/>
            </w:tcBorders>
            <w:shd w:val="clear" w:color="auto" w:fill="auto"/>
            <w:vAlign w:val="center"/>
          </w:tcPr>
          <w:p w14:paraId="0EB3CB9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54 (20); C: 54 (18)</w:t>
            </w:r>
          </w:p>
        </w:tc>
        <w:tc>
          <w:tcPr>
            <w:tcW w:w="1314" w:type="dxa"/>
            <w:tcBorders>
              <w:top w:val="nil"/>
              <w:left w:val="nil"/>
              <w:bottom w:val="nil"/>
              <w:right w:val="nil"/>
            </w:tcBorders>
            <w:shd w:val="clear" w:color="auto" w:fill="auto"/>
            <w:vAlign w:val="center"/>
          </w:tcPr>
          <w:p w14:paraId="3371AA5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Acinetobacter baumannii: n=21/26; PA: n=35/34; Klebsiella pneumoniae: n=7/9; Other: n=2/1</w:t>
            </w:r>
          </w:p>
        </w:tc>
        <w:tc>
          <w:tcPr>
            <w:tcW w:w="1025" w:type="dxa"/>
            <w:tcBorders>
              <w:top w:val="nil"/>
              <w:left w:val="nil"/>
              <w:bottom w:val="nil"/>
              <w:right w:val="nil"/>
            </w:tcBorders>
            <w:shd w:val="clear" w:color="auto" w:fill="auto"/>
            <w:vAlign w:val="center"/>
          </w:tcPr>
          <w:p w14:paraId="7E443DD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Nosocomial pneumonia</w:t>
            </w:r>
          </w:p>
        </w:tc>
        <w:tc>
          <w:tcPr>
            <w:tcW w:w="1215" w:type="dxa"/>
            <w:tcBorders>
              <w:top w:val="nil"/>
              <w:left w:val="nil"/>
              <w:bottom w:val="nil"/>
              <w:right w:val="nil"/>
            </w:tcBorders>
            <w:shd w:val="clear" w:color="auto" w:fill="auto"/>
            <w:vAlign w:val="center"/>
          </w:tcPr>
          <w:p w14:paraId="53885BBE">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Combination: Aerosolized combined  intravenous colistin</w:t>
            </w:r>
          </w:p>
        </w:tc>
        <w:tc>
          <w:tcPr>
            <w:tcW w:w="2934" w:type="dxa"/>
            <w:tcBorders>
              <w:top w:val="nil"/>
              <w:left w:val="nil"/>
              <w:bottom w:val="nil"/>
              <w:right w:val="nil"/>
            </w:tcBorders>
            <w:shd w:val="clear" w:color="auto" w:fill="auto"/>
            <w:vAlign w:val="center"/>
          </w:tcPr>
          <w:p w14:paraId="40F3C11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IV colistin was 10 million MIU given in divided doses and adjusted based on renal function [1 MIU of colistin = 80 mg of the prodrug CMS = 33.3 mg of colistin base activity] all patients received a loading dose.</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Duration: mean(SD) days 11.5(6)</w:t>
            </w:r>
          </w:p>
        </w:tc>
        <w:tc>
          <w:tcPr>
            <w:tcW w:w="1868" w:type="dxa"/>
            <w:tcBorders>
              <w:top w:val="nil"/>
              <w:left w:val="nil"/>
              <w:bottom w:val="nil"/>
              <w:right w:val="nil"/>
            </w:tcBorders>
            <w:shd w:val="clear" w:color="auto" w:fill="auto"/>
            <w:vAlign w:val="center"/>
          </w:tcPr>
          <w:p w14:paraId="3E354D4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Monotherapy: colistin</w:t>
            </w:r>
          </w:p>
        </w:tc>
        <w:tc>
          <w:tcPr>
            <w:tcW w:w="2690" w:type="dxa"/>
            <w:tcBorders>
              <w:top w:val="nil"/>
              <w:left w:val="nil"/>
              <w:bottom w:val="nil"/>
              <w:right w:val="nil"/>
            </w:tcBorders>
            <w:shd w:val="clear" w:color="auto" w:fill="auto"/>
            <w:vAlign w:val="center"/>
          </w:tcPr>
          <w:p w14:paraId="6012036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The standard AER colistin dose was 2 MIU every 8 h.</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Duration: mean(SD) days 11(6)</w:t>
            </w:r>
          </w:p>
        </w:tc>
      </w:tr>
      <w:tr w14:paraId="60EB5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01" w:type="dxa"/>
            <w:tcBorders>
              <w:top w:val="nil"/>
              <w:left w:val="nil"/>
              <w:bottom w:val="nil"/>
              <w:right w:val="nil"/>
            </w:tcBorders>
            <w:shd w:val="clear" w:color="auto" w:fill="auto"/>
            <w:vAlign w:val="center"/>
          </w:tcPr>
          <w:p w14:paraId="7577B5BC">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Naesen 2021</w:t>
            </w:r>
          </w:p>
        </w:tc>
        <w:tc>
          <w:tcPr>
            <w:tcW w:w="1042" w:type="dxa"/>
            <w:tcBorders>
              <w:top w:val="nil"/>
              <w:left w:val="nil"/>
              <w:bottom w:val="nil"/>
              <w:right w:val="nil"/>
            </w:tcBorders>
            <w:shd w:val="clear" w:color="auto" w:fill="auto"/>
            <w:vAlign w:val="center"/>
          </w:tcPr>
          <w:p w14:paraId="1B20569F">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Retrospective study</w:t>
            </w:r>
          </w:p>
        </w:tc>
        <w:tc>
          <w:tcPr>
            <w:tcW w:w="876" w:type="dxa"/>
            <w:tcBorders>
              <w:top w:val="nil"/>
              <w:left w:val="nil"/>
              <w:bottom w:val="nil"/>
              <w:right w:val="nil"/>
            </w:tcBorders>
            <w:shd w:val="clear" w:color="auto" w:fill="auto"/>
            <w:vAlign w:val="center"/>
          </w:tcPr>
          <w:p w14:paraId="3442412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Belgium</w:t>
            </w:r>
          </w:p>
        </w:tc>
        <w:tc>
          <w:tcPr>
            <w:tcW w:w="925" w:type="dxa"/>
            <w:tcBorders>
              <w:top w:val="nil"/>
              <w:left w:val="nil"/>
              <w:bottom w:val="nil"/>
              <w:right w:val="nil"/>
            </w:tcBorders>
            <w:shd w:val="clear" w:color="auto" w:fill="auto"/>
            <w:vAlign w:val="center"/>
          </w:tcPr>
          <w:p w14:paraId="2E7918E6">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9; C: 5</w:t>
            </w:r>
          </w:p>
        </w:tc>
        <w:tc>
          <w:tcPr>
            <w:tcW w:w="1149" w:type="dxa"/>
            <w:tcBorders>
              <w:top w:val="nil"/>
              <w:left w:val="nil"/>
              <w:bottom w:val="nil"/>
              <w:right w:val="nil"/>
            </w:tcBorders>
            <w:shd w:val="clear" w:color="auto" w:fill="auto"/>
            <w:vAlign w:val="center"/>
          </w:tcPr>
          <w:p w14:paraId="7431845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67.9 (59-76); C: 64.8 (46-77)</w:t>
            </w:r>
          </w:p>
        </w:tc>
        <w:tc>
          <w:tcPr>
            <w:tcW w:w="1314" w:type="dxa"/>
            <w:tcBorders>
              <w:top w:val="nil"/>
              <w:left w:val="nil"/>
              <w:bottom w:val="nil"/>
              <w:right w:val="nil"/>
            </w:tcBorders>
            <w:shd w:val="clear" w:color="auto" w:fill="auto"/>
            <w:vAlign w:val="center"/>
          </w:tcPr>
          <w:p w14:paraId="66EE8F69">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MDR-PA</w:t>
            </w:r>
          </w:p>
        </w:tc>
        <w:tc>
          <w:tcPr>
            <w:tcW w:w="1025" w:type="dxa"/>
            <w:tcBorders>
              <w:top w:val="nil"/>
              <w:left w:val="nil"/>
              <w:bottom w:val="nil"/>
              <w:right w:val="nil"/>
            </w:tcBorders>
            <w:shd w:val="clear" w:color="auto" w:fill="auto"/>
            <w:vAlign w:val="center"/>
          </w:tcPr>
          <w:p w14:paraId="6738F13B">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VAP</w:t>
            </w:r>
          </w:p>
        </w:tc>
        <w:tc>
          <w:tcPr>
            <w:tcW w:w="1215" w:type="dxa"/>
            <w:tcBorders>
              <w:top w:val="nil"/>
              <w:left w:val="nil"/>
              <w:bottom w:val="nil"/>
              <w:right w:val="nil"/>
            </w:tcBorders>
            <w:shd w:val="clear" w:color="auto" w:fill="auto"/>
            <w:vAlign w:val="center"/>
          </w:tcPr>
          <w:p w14:paraId="36C97984">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Combination: Parenteral combined  Inhalation</w:t>
            </w:r>
          </w:p>
        </w:tc>
        <w:tc>
          <w:tcPr>
            <w:tcW w:w="2934" w:type="dxa"/>
            <w:tcBorders>
              <w:top w:val="nil"/>
              <w:left w:val="nil"/>
              <w:bottom w:val="nil"/>
              <w:right w:val="nil"/>
            </w:tcBorders>
            <w:shd w:val="clear" w:color="auto" w:fill="auto"/>
            <w:vAlign w:val="center"/>
          </w:tcPr>
          <w:p w14:paraId="292C5EED">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Colistin intravenously 62500 IU/kg/day in 3 to 4 divided doses, and adjusted for creatinine clearance if necessary.   Inhalation, a standardised regimen of 2 mIU/aerosol t.i.d. In mechanically ventilated patients, the efficient administration of the inhaled/aerosolized colistin was guaranteed by the use of the standard nebulizers for the ventilators used: Servo Ultra Nebulizer 145/345 for the Servo-I and the 84 12 935 nebulizer for the Dräger Evita 4 Ventilator</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Duration: meadian (range) 73.0 (16-141)</w:t>
            </w:r>
          </w:p>
        </w:tc>
        <w:tc>
          <w:tcPr>
            <w:tcW w:w="1868" w:type="dxa"/>
            <w:tcBorders>
              <w:top w:val="nil"/>
              <w:left w:val="nil"/>
              <w:bottom w:val="nil"/>
              <w:right w:val="nil"/>
            </w:tcBorders>
            <w:shd w:val="clear" w:color="auto" w:fill="auto"/>
            <w:vAlign w:val="center"/>
          </w:tcPr>
          <w:p w14:paraId="40289E41">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Monotherapy: Parenteral </w:t>
            </w:r>
          </w:p>
        </w:tc>
        <w:tc>
          <w:tcPr>
            <w:tcW w:w="2690" w:type="dxa"/>
            <w:tcBorders>
              <w:top w:val="nil"/>
              <w:left w:val="nil"/>
              <w:bottom w:val="nil"/>
              <w:right w:val="nil"/>
            </w:tcBorders>
            <w:shd w:val="clear" w:color="auto" w:fill="auto"/>
            <w:vAlign w:val="center"/>
          </w:tcPr>
          <w:p w14:paraId="6F9691C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Colistin intravenously 62500 IU/kg/day in 3 to 4 divided doses, and adjusted for creatinine clearance if necessary. </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Duration:  meadian range 40.0 (29-</w:t>
            </w:r>
            <w:r>
              <w:rPr>
                <w:rFonts w:hint="default" w:ascii="Times New Roman" w:hAnsi="Times New Roman" w:eastAsia="宋体" w:cs="Times New Roman"/>
                <w:i w:val="0"/>
                <w:iCs w:val="0"/>
                <w:color w:val="000000"/>
                <w:kern w:val="0"/>
                <w:sz w:val="18"/>
                <w:szCs w:val="18"/>
                <w:u w:val="none"/>
                <w:lang w:val="en-US" w:eastAsia="zh-CN" w:bidi="ar"/>
                <w14:ligatures w14:val="none"/>
              </w:rPr>
              <w:br w:type="textWrapping"/>
            </w:r>
            <w:r>
              <w:rPr>
                <w:rFonts w:hint="default" w:ascii="Times New Roman" w:hAnsi="Times New Roman" w:eastAsia="宋体" w:cs="Times New Roman"/>
                <w:i w:val="0"/>
                <w:iCs w:val="0"/>
                <w:color w:val="000000"/>
                <w:kern w:val="0"/>
                <w:sz w:val="18"/>
                <w:szCs w:val="18"/>
                <w:u w:val="none"/>
                <w:lang w:val="en-US" w:eastAsia="zh-CN" w:bidi="ar"/>
                <w14:ligatures w14:val="none"/>
              </w:rPr>
              <w:t>64)</w:t>
            </w:r>
          </w:p>
        </w:tc>
      </w:tr>
      <w:tr w14:paraId="39C86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01" w:type="dxa"/>
            <w:tcBorders>
              <w:top w:val="nil"/>
              <w:left w:val="nil"/>
              <w:bottom w:val="single" w:color="000000" w:sz="12" w:space="0"/>
              <w:right w:val="nil"/>
            </w:tcBorders>
            <w:shd w:val="clear" w:color="auto" w:fill="auto"/>
            <w:vAlign w:val="center"/>
          </w:tcPr>
          <w:p w14:paraId="59B69F7A">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Zhang 2025</w:t>
            </w:r>
          </w:p>
        </w:tc>
        <w:tc>
          <w:tcPr>
            <w:tcW w:w="1042" w:type="dxa"/>
            <w:tcBorders>
              <w:top w:val="nil"/>
              <w:left w:val="nil"/>
              <w:bottom w:val="single" w:color="000000" w:sz="12" w:space="0"/>
              <w:right w:val="nil"/>
            </w:tcBorders>
            <w:shd w:val="clear" w:color="auto" w:fill="auto"/>
            <w:vAlign w:val="center"/>
          </w:tcPr>
          <w:p w14:paraId="30CE9CA2">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multicenter prospective cohort</w:t>
            </w:r>
          </w:p>
        </w:tc>
        <w:tc>
          <w:tcPr>
            <w:tcW w:w="876" w:type="dxa"/>
            <w:tcBorders>
              <w:top w:val="nil"/>
              <w:left w:val="nil"/>
              <w:bottom w:val="single" w:color="000000" w:sz="12" w:space="0"/>
              <w:right w:val="nil"/>
            </w:tcBorders>
            <w:shd w:val="clear" w:color="auto" w:fill="auto"/>
            <w:vAlign w:val="center"/>
          </w:tcPr>
          <w:p w14:paraId="2615C1D7">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China</w:t>
            </w:r>
          </w:p>
        </w:tc>
        <w:tc>
          <w:tcPr>
            <w:tcW w:w="925" w:type="dxa"/>
            <w:tcBorders>
              <w:top w:val="nil"/>
              <w:left w:val="nil"/>
              <w:bottom w:val="single" w:color="000000" w:sz="12" w:space="0"/>
              <w:right w:val="nil"/>
            </w:tcBorders>
            <w:shd w:val="clear" w:color="auto" w:fill="auto"/>
            <w:vAlign w:val="center"/>
          </w:tcPr>
          <w:p w14:paraId="3478F53C">
            <w:pPr>
              <w:keepNext w:val="0"/>
              <w:keepLines w:val="0"/>
              <w:widowControl/>
              <w:suppressLineNumbers w:val="0"/>
              <w:snapToGrid w:val="0"/>
              <w:spacing w:before="0" w:beforeLines="0" w:after="0" w:afterLines="0"/>
              <w:ind w:left="0" w:leftChars="0" w:right="0" w:rightChars="0" w:firstLine="0" w:firstLineChars="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 29; C: 35</w:t>
            </w:r>
          </w:p>
        </w:tc>
        <w:tc>
          <w:tcPr>
            <w:tcW w:w="1149" w:type="dxa"/>
            <w:tcBorders>
              <w:top w:val="nil"/>
              <w:left w:val="nil"/>
              <w:bottom w:val="single" w:color="000000" w:sz="12" w:space="0"/>
              <w:right w:val="nil"/>
            </w:tcBorders>
            <w:shd w:val="clear" w:color="auto" w:fill="auto"/>
            <w:vAlign w:val="center"/>
          </w:tcPr>
          <w:p w14:paraId="4B03DB75">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66.63 ± 16.97 (IV polymyxin B alone); 68.93 ± 16.42 (AER plus IV polymyxin B)</w:t>
            </w:r>
          </w:p>
        </w:tc>
        <w:tc>
          <w:tcPr>
            <w:tcW w:w="1314" w:type="dxa"/>
            <w:tcBorders>
              <w:top w:val="nil"/>
              <w:left w:val="nil"/>
              <w:bottom w:val="single" w:color="000000" w:sz="12" w:space="0"/>
              <w:right w:val="nil"/>
            </w:tcBorders>
            <w:shd w:val="clear" w:color="auto" w:fill="auto"/>
            <w:vAlign w:val="center"/>
          </w:tcPr>
          <w:p w14:paraId="30A7776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CRAB;CRPA;CRE</w:t>
            </w:r>
          </w:p>
        </w:tc>
        <w:tc>
          <w:tcPr>
            <w:tcW w:w="1025" w:type="dxa"/>
            <w:tcBorders>
              <w:top w:val="nil"/>
              <w:left w:val="nil"/>
              <w:bottom w:val="single" w:color="000000" w:sz="12" w:space="0"/>
              <w:right w:val="nil"/>
            </w:tcBorders>
            <w:shd w:val="clear" w:color="auto" w:fill="auto"/>
            <w:vAlign w:val="center"/>
          </w:tcPr>
          <w:p w14:paraId="76AA5F00">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Hospital-acquired pneumonia;Ventilator-associated pneumonia (VAP)</w:t>
            </w:r>
          </w:p>
        </w:tc>
        <w:tc>
          <w:tcPr>
            <w:tcW w:w="1215" w:type="dxa"/>
            <w:tcBorders>
              <w:top w:val="nil"/>
              <w:left w:val="nil"/>
              <w:bottom w:val="single" w:color="000000" w:sz="12" w:space="0"/>
              <w:right w:val="nil"/>
            </w:tcBorders>
            <w:shd w:val="clear" w:color="auto" w:fill="auto"/>
            <w:vAlign w:val="center"/>
          </w:tcPr>
          <w:p w14:paraId="40747FE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receiving AER plus IV polymyxin B</w:t>
            </w:r>
          </w:p>
        </w:tc>
        <w:tc>
          <w:tcPr>
            <w:tcW w:w="2934" w:type="dxa"/>
            <w:tcBorders>
              <w:top w:val="nil"/>
              <w:left w:val="nil"/>
              <w:bottom w:val="single" w:color="000000" w:sz="12" w:space="0"/>
              <w:right w:val="nil"/>
            </w:tcBorders>
            <w:shd w:val="clear" w:color="auto" w:fill="auto"/>
            <w:vAlign w:val="center"/>
          </w:tcPr>
          <w:p w14:paraId="366F6478">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The loading dose was 2.0-2.5 mg/kg (i.e. 20000-25000 IU/kg), administered via intravenous infusion over more than 1 h. The maintenance dose was 1.25-1.5 mg/kg (i.e. 12500-15000 IU/kg TBW) every 12 h, also infused intravenously over more than 1 h. The duration of IV polymyxin B therapy was 10.26 ± 4.32 days., while the atomized inhalation dose was 25 mg dissolved in 5 mL of sterile water, administered every 12 h. The duration of IV polymyxin B therapy was 15.24 ± 6.09 days.</w:t>
            </w:r>
          </w:p>
        </w:tc>
        <w:tc>
          <w:tcPr>
            <w:tcW w:w="1868" w:type="dxa"/>
            <w:tcBorders>
              <w:top w:val="nil"/>
              <w:left w:val="nil"/>
              <w:bottom w:val="single" w:color="000000" w:sz="12" w:space="0"/>
              <w:right w:val="nil"/>
            </w:tcBorders>
            <w:shd w:val="clear" w:color="auto" w:fill="auto"/>
            <w:vAlign w:val="center"/>
          </w:tcPr>
          <w:p w14:paraId="0C1AF72F">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intravenous polymyxin B alone</w:t>
            </w:r>
          </w:p>
        </w:tc>
        <w:tc>
          <w:tcPr>
            <w:tcW w:w="2690" w:type="dxa"/>
            <w:tcBorders>
              <w:top w:val="nil"/>
              <w:left w:val="nil"/>
              <w:bottom w:val="single" w:color="000000" w:sz="12" w:space="0"/>
              <w:right w:val="nil"/>
            </w:tcBorders>
            <w:shd w:val="clear" w:color="auto" w:fill="auto"/>
            <w:vAlign w:val="center"/>
          </w:tcPr>
          <w:p w14:paraId="43359D83">
            <w:pPr>
              <w:keepNext w:val="0"/>
              <w:keepLines w:val="0"/>
              <w:widowControl/>
              <w:suppressLineNumbers w:val="0"/>
              <w:snapToGrid w:val="0"/>
              <w:spacing w:before="0" w:beforeLines="0" w:after="0" w:afterLines="0"/>
              <w:ind w:left="0" w:leftChars="0" w:right="0" w:rightChars="0" w:firstLine="0" w:firstLineChars="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The intravenous group, receiving intravenous polymyxin B alone, had the same dosing regimen as described above. The duration of IV polymyxin B therapy was 10.26 ± 4.32 days.</w:t>
            </w:r>
          </w:p>
        </w:tc>
      </w:tr>
      <w:tr w14:paraId="09F8C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739" w:type="dxa"/>
            <w:gridSpan w:val="11"/>
            <w:tcBorders>
              <w:top w:val="nil"/>
              <w:left w:val="nil"/>
              <w:bottom w:val="nil"/>
              <w:right w:val="single" w:color="000000" w:sz="4" w:space="0"/>
            </w:tcBorders>
            <w:shd w:val="clear" w:color="auto" w:fill="auto"/>
            <w:vAlign w:val="center"/>
          </w:tcPr>
          <w:p w14:paraId="76CD211F">
            <w:pPr>
              <w:keepNext w:val="0"/>
              <w:keepLines w:val="0"/>
              <w:widowControl/>
              <w:suppressLineNumbers w:val="0"/>
              <w:snapToGrid w:val="0"/>
              <w:spacing w:before="0" w:beforeLines="0" w:after="0" w:afterLines="0"/>
              <w:ind w:left="0" w:leftChars="0" w:right="0" w:rightChars="0" w:firstLine="0" w:firstLineChars="0"/>
              <w:jc w:val="left"/>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14:ligatures w14:val="none"/>
              </w:rPr>
              <w:t xml:space="preserve">I: Intervention; C: Comparison; ICU-AP: ICU-acquired pneumonia; MDR: Pseudomonas aeruginosa; PA: Pseudomonas aeruginosa; VAP: ventilator associated pneumonia; MIU: international units; MD-RO: multidrug resistant organism; AER: aerosolized; CMS: colistimethate sodium; NSS: nebulized sterile normal saline; IV: Intravenous; </w:t>
            </w:r>
            <w:r>
              <w:rPr>
                <w:rFonts w:hint="default" w:ascii="Times New Roman" w:hAnsi="Times New Roman" w:eastAsia="宋体" w:cs="Times New Roman"/>
                <w:i w:val="0"/>
                <w:iCs w:val="0"/>
                <w:color w:val="000000"/>
                <w:kern w:val="0"/>
                <w:sz w:val="18"/>
                <w:szCs w:val="18"/>
                <w:u w:val="none"/>
                <w:vertAlign w:val="superscript"/>
                <w:lang w:val="en-US" w:eastAsia="zh-CN" w:bidi="ar"/>
                <w14:ligatures w14:val="none"/>
              </w:rPr>
              <w:t xml:space="preserve">1 </w:t>
            </w:r>
            <w:r>
              <w:rPr>
                <w:rFonts w:hint="default" w:ascii="Times New Roman" w:hAnsi="Times New Roman" w:eastAsia="宋体" w:cs="Times New Roman"/>
                <w:i w:val="0"/>
                <w:iCs w:val="0"/>
                <w:color w:val="000000"/>
                <w:kern w:val="0"/>
                <w:sz w:val="18"/>
                <w:szCs w:val="18"/>
                <w:u w:val="none"/>
                <w:lang w:val="en-US" w:eastAsia="zh-CN" w:bidi="ar"/>
                <w14:ligatures w14:val="none"/>
              </w:rPr>
              <w:t>mean (SD/range)</w:t>
            </w:r>
          </w:p>
        </w:tc>
      </w:tr>
    </w:tbl>
    <w:p w14:paraId="5024FF5A">
      <w:pPr>
        <w:pStyle w:val="39"/>
        <w:rPr>
          <w:rFonts w:hint="eastAsia"/>
        </w:rPr>
      </w:pPr>
    </w:p>
    <w:p w14:paraId="3F110361">
      <w:pPr>
        <w:pStyle w:val="39"/>
        <w:rPr>
          <w:rFonts w:hint="eastAsia"/>
        </w:rPr>
      </w:pPr>
      <w:r>
        <w:rPr>
          <w:rFonts w:hint="eastAsia"/>
        </w:rPr>
        <w:t>附表</w:t>
      </w:r>
      <w:r>
        <w:rPr>
          <w:rFonts w:hint="eastAsia"/>
          <w:lang w:val="en-US" w:eastAsia="zh-CN"/>
        </w:rPr>
        <w:t>9</w:t>
      </w:r>
      <w:r>
        <w:rPr>
          <w:rFonts w:hint="eastAsia"/>
        </w:rPr>
        <w:t>.临床问题9纳入文献基线特征表</w:t>
      </w:r>
    </w:p>
    <w:tbl>
      <w:tblPr>
        <w:tblStyle w:val="15"/>
        <w:tblW w:w="15587"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10"/>
        <w:gridCol w:w="1465"/>
        <w:gridCol w:w="604"/>
        <w:gridCol w:w="855"/>
        <w:gridCol w:w="2214"/>
        <w:gridCol w:w="1424"/>
        <w:gridCol w:w="1539"/>
        <w:gridCol w:w="1519"/>
        <w:gridCol w:w="1634"/>
        <w:gridCol w:w="1638"/>
        <w:gridCol w:w="1485"/>
      </w:tblGrid>
      <w:tr w14:paraId="7927B9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0" w:hRule="atLeast"/>
          <w:tblHeader/>
          <w:jc w:val="center"/>
        </w:trPr>
        <w:tc>
          <w:tcPr>
            <w:tcW w:w="1209" w:type="dxa"/>
            <w:tcBorders>
              <w:top w:val="single" w:color="auto" w:sz="12" w:space="0"/>
              <w:bottom w:val="single" w:color="auto" w:sz="12" w:space="0"/>
            </w:tcBorders>
            <w:vAlign w:val="center"/>
          </w:tcPr>
          <w:p w14:paraId="0ABB7BA8">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b/>
                <w:kern w:val="0"/>
                <w:sz w:val="18"/>
                <w:szCs w:val="18"/>
              </w:rPr>
            </w:pPr>
            <w:r>
              <w:rPr>
                <w:rFonts w:hint="default" w:ascii="Times New Roman" w:hAnsi="Times New Roman" w:eastAsia="宋体" w:cs="Times New Roman"/>
                <w:b/>
                <w:kern w:val="0"/>
                <w:sz w:val="18"/>
                <w:szCs w:val="18"/>
              </w:rPr>
              <w:t>Study ID</w:t>
            </w:r>
          </w:p>
        </w:tc>
        <w:tc>
          <w:tcPr>
            <w:tcW w:w="1464" w:type="dxa"/>
            <w:tcBorders>
              <w:top w:val="single" w:color="auto" w:sz="12" w:space="0"/>
              <w:bottom w:val="single" w:color="auto" w:sz="12" w:space="0"/>
            </w:tcBorders>
            <w:vAlign w:val="center"/>
          </w:tcPr>
          <w:p w14:paraId="55838038">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b/>
                <w:kern w:val="0"/>
                <w:sz w:val="18"/>
                <w:szCs w:val="18"/>
              </w:rPr>
            </w:pPr>
            <w:r>
              <w:rPr>
                <w:rFonts w:hint="default" w:ascii="Times New Roman" w:hAnsi="Times New Roman" w:eastAsia="宋体" w:cs="Times New Roman"/>
                <w:b/>
                <w:kern w:val="0"/>
                <w:sz w:val="18"/>
                <w:szCs w:val="18"/>
              </w:rPr>
              <w:t>Study Design</w:t>
            </w:r>
          </w:p>
        </w:tc>
        <w:tc>
          <w:tcPr>
            <w:tcW w:w="603" w:type="dxa"/>
            <w:tcBorders>
              <w:top w:val="single" w:color="auto" w:sz="12" w:space="0"/>
              <w:bottom w:val="single" w:color="auto" w:sz="12" w:space="0"/>
            </w:tcBorders>
            <w:vAlign w:val="center"/>
          </w:tcPr>
          <w:p w14:paraId="30DADA48">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b/>
                <w:kern w:val="0"/>
                <w:sz w:val="18"/>
                <w:szCs w:val="18"/>
              </w:rPr>
            </w:pPr>
            <w:r>
              <w:rPr>
                <w:rFonts w:hint="default" w:ascii="Times New Roman" w:hAnsi="Times New Roman" w:eastAsia="宋体" w:cs="Times New Roman"/>
                <w:b/>
                <w:kern w:val="0"/>
                <w:sz w:val="18"/>
                <w:szCs w:val="18"/>
              </w:rPr>
              <w:t>Country</w:t>
            </w:r>
          </w:p>
        </w:tc>
        <w:tc>
          <w:tcPr>
            <w:tcW w:w="854" w:type="dxa"/>
            <w:tcBorders>
              <w:top w:val="single" w:color="auto" w:sz="12" w:space="0"/>
              <w:bottom w:val="single" w:color="auto" w:sz="12" w:space="0"/>
            </w:tcBorders>
            <w:vAlign w:val="center"/>
          </w:tcPr>
          <w:p w14:paraId="56F4D23F">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b/>
                <w:kern w:val="0"/>
                <w:sz w:val="18"/>
                <w:szCs w:val="18"/>
              </w:rPr>
            </w:pPr>
            <w:r>
              <w:rPr>
                <w:rFonts w:hint="default" w:ascii="Times New Roman" w:hAnsi="Times New Roman" w:eastAsia="宋体" w:cs="Times New Roman"/>
                <w:b/>
                <w:kern w:val="0"/>
                <w:sz w:val="18"/>
                <w:szCs w:val="18"/>
              </w:rPr>
              <w:t>Sample size</w:t>
            </w:r>
          </w:p>
        </w:tc>
        <w:tc>
          <w:tcPr>
            <w:tcW w:w="2212" w:type="dxa"/>
            <w:tcBorders>
              <w:top w:val="single" w:color="auto" w:sz="12" w:space="0"/>
              <w:bottom w:val="single" w:color="auto" w:sz="12" w:space="0"/>
            </w:tcBorders>
            <w:vAlign w:val="center"/>
          </w:tcPr>
          <w:p w14:paraId="0932AFC7">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b/>
                <w:kern w:val="0"/>
                <w:sz w:val="18"/>
                <w:szCs w:val="18"/>
              </w:rPr>
            </w:pPr>
            <w:r>
              <w:rPr>
                <w:rFonts w:hint="default" w:ascii="Times New Roman" w:hAnsi="Times New Roman" w:eastAsia="宋体" w:cs="Times New Roman"/>
                <w:b/>
                <w:kern w:val="0"/>
                <w:sz w:val="18"/>
                <w:szCs w:val="18"/>
              </w:rPr>
              <w:t>Objective</w:t>
            </w:r>
          </w:p>
        </w:tc>
        <w:tc>
          <w:tcPr>
            <w:tcW w:w="1423" w:type="dxa"/>
            <w:tcBorders>
              <w:top w:val="single" w:color="auto" w:sz="12" w:space="0"/>
              <w:bottom w:val="single" w:color="auto" w:sz="12" w:space="0"/>
            </w:tcBorders>
            <w:vAlign w:val="center"/>
          </w:tcPr>
          <w:p w14:paraId="788E268D">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Age</w:t>
            </w:r>
            <w:r>
              <w:rPr>
                <w:rFonts w:hint="default" w:ascii="Times New Roman" w:hAnsi="Times New Roman" w:eastAsia="宋体" w:cs="Times New Roman"/>
                <w:b/>
                <w:bCs/>
                <w:color w:val="000000"/>
                <w:kern w:val="0"/>
                <w:sz w:val="18"/>
                <w:szCs w:val="18"/>
                <w:vertAlign w:val="superscript"/>
              </w:rPr>
              <w:t>1</w:t>
            </w:r>
            <w:r>
              <w:rPr>
                <w:rFonts w:hint="default" w:ascii="Times New Roman" w:hAnsi="Times New Roman" w:eastAsia="宋体" w:cs="Times New Roman"/>
                <w:b/>
                <w:bCs/>
                <w:color w:val="000000"/>
                <w:kern w:val="0"/>
                <w:sz w:val="18"/>
                <w:szCs w:val="18"/>
              </w:rPr>
              <w:t>/Years</w:t>
            </w:r>
          </w:p>
        </w:tc>
        <w:tc>
          <w:tcPr>
            <w:tcW w:w="1538" w:type="dxa"/>
            <w:tcBorders>
              <w:top w:val="single" w:color="auto" w:sz="12" w:space="0"/>
              <w:bottom w:val="single" w:color="auto" w:sz="12" w:space="0"/>
            </w:tcBorders>
            <w:vAlign w:val="center"/>
          </w:tcPr>
          <w:p w14:paraId="0069F772">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Pathogenic Bacteria</w:t>
            </w:r>
          </w:p>
        </w:tc>
        <w:tc>
          <w:tcPr>
            <w:tcW w:w="1518" w:type="dxa"/>
            <w:tcBorders>
              <w:top w:val="single" w:color="auto" w:sz="12" w:space="0"/>
              <w:bottom w:val="single" w:color="auto" w:sz="12" w:space="0"/>
            </w:tcBorders>
            <w:vAlign w:val="center"/>
          </w:tcPr>
          <w:p w14:paraId="7C468C94">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Disease</w:t>
            </w:r>
          </w:p>
        </w:tc>
        <w:tc>
          <w:tcPr>
            <w:tcW w:w="1632" w:type="dxa"/>
            <w:tcBorders>
              <w:top w:val="single" w:color="auto" w:sz="12" w:space="0"/>
              <w:bottom w:val="single" w:color="auto" w:sz="12" w:space="0"/>
            </w:tcBorders>
            <w:vAlign w:val="center"/>
          </w:tcPr>
          <w:p w14:paraId="398C0480">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Intervention</w:t>
            </w:r>
          </w:p>
        </w:tc>
        <w:tc>
          <w:tcPr>
            <w:tcW w:w="1636" w:type="dxa"/>
            <w:tcBorders>
              <w:top w:val="single" w:color="auto" w:sz="12" w:space="0"/>
              <w:bottom w:val="single" w:color="auto" w:sz="12" w:space="0"/>
            </w:tcBorders>
            <w:vAlign w:val="center"/>
          </w:tcPr>
          <w:p w14:paraId="4B957898">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b/>
                <w:bCs/>
                <w:color w:val="000000"/>
                <w:kern w:val="0"/>
                <w:sz w:val="18"/>
                <w:szCs w:val="18"/>
              </w:rPr>
            </w:pPr>
            <w:r>
              <w:rPr>
                <w:rFonts w:hint="default" w:ascii="Times New Roman" w:hAnsi="Times New Roman" w:eastAsia="宋体" w:cs="Times New Roman"/>
                <w:b/>
                <w:bCs/>
                <w:color w:val="000000"/>
                <w:kern w:val="0"/>
                <w:sz w:val="18"/>
                <w:szCs w:val="18"/>
              </w:rPr>
              <w:t>Dosage, Frequency, Duration</w:t>
            </w:r>
          </w:p>
        </w:tc>
        <w:tc>
          <w:tcPr>
            <w:tcW w:w="1483" w:type="dxa"/>
            <w:tcBorders>
              <w:top w:val="single" w:color="auto" w:sz="12" w:space="0"/>
              <w:bottom w:val="single" w:color="auto" w:sz="12" w:space="0"/>
            </w:tcBorders>
            <w:vAlign w:val="center"/>
          </w:tcPr>
          <w:p w14:paraId="40402DBE">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b/>
                <w:kern w:val="0"/>
                <w:sz w:val="18"/>
                <w:szCs w:val="18"/>
              </w:rPr>
            </w:pPr>
            <w:r>
              <w:rPr>
                <w:rFonts w:hint="default" w:ascii="Times New Roman" w:hAnsi="Times New Roman" w:eastAsia="宋体" w:cs="Times New Roman"/>
                <w:b/>
                <w:kern w:val="0"/>
                <w:sz w:val="18"/>
                <w:szCs w:val="18"/>
              </w:rPr>
              <w:t>Outcomes</w:t>
            </w:r>
          </w:p>
        </w:tc>
      </w:tr>
      <w:tr w14:paraId="577441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0" w:hRule="atLeast"/>
          <w:jc w:val="center"/>
        </w:trPr>
        <w:tc>
          <w:tcPr>
            <w:tcW w:w="1209" w:type="dxa"/>
            <w:tcBorders>
              <w:top w:val="single" w:color="auto" w:sz="12" w:space="0"/>
            </w:tcBorders>
            <w:vAlign w:val="center"/>
          </w:tcPr>
          <w:p w14:paraId="0409F72A">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Liu 2022</w:t>
            </w:r>
          </w:p>
        </w:tc>
        <w:tc>
          <w:tcPr>
            <w:tcW w:w="1464" w:type="dxa"/>
            <w:tcBorders>
              <w:top w:val="single" w:color="auto" w:sz="12" w:space="0"/>
            </w:tcBorders>
            <w:vAlign w:val="center"/>
          </w:tcPr>
          <w:p w14:paraId="0D5BC26E">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Retrospective Study (case series)</w:t>
            </w:r>
          </w:p>
        </w:tc>
        <w:tc>
          <w:tcPr>
            <w:tcW w:w="603" w:type="dxa"/>
            <w:tcBorders>
              <w:top w:val="single" w:color="auto" w:sz="12" w:space="0"/>
            </w:tcBorders>
            <w:vAlign w:val="center"/>
          </w:tcPr>
          <w:p w14:paraId="143EA3F8">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China</w:t>
            </w:r>
          </w:p>
        </w:tc>
        <w:tc>
          <w:tcPr>
            <w:tcW w:w="854" w:type="dxa"/>
            <w:tcBorders>
              <w:top w:val="single" w:color="auto" w:sz="12" w:space="0"/>
            </w:tcBorders>
            <w:vAlign w:val="center"/>
          </w:tcPr>
          <w:p w14:paraId="422528CD">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41</w:t>
            </w:r>
          </w:p>
        </w:tc>
        <w:tc>
          <w:tcPr>
            <w:tcW w:w="2212" w:type="dxa"/>
            <w:tcBorders>
              <w:top w:val="single" w:color="auto" w:sz="12" w:space="0"/>
            </w:tcBorders>
            <w:vAlign w:val="center"/>
          </w:tcPr>
          <w:p w14:paraId="269B13CB">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We evaluated the efficacy and administration time of intraventricular (IVT) polymyxin B in the treatment of carbapenemresistant and multidrug-resistant/extensively drug-resistant (MDR/XDR) Gram-negative bacilli in central nervous system (CNS) infections and investigated prognostic factors.</w:t>
            </w:r>
          </w:p>
        </w:tc>
        <w:tc>
          <w:tcPr>
            <w:tcW w:w="1423" w:type="dxa"/>
            <w:tcBorders>
              <w:top w:val="single" w:color="auto" w:sz="12" w:space="0"/>
            </w:tcBorders>
            <w:vAlign w:val="center"/>
          </w:tcPr>
          <w:p w14:paraId="26532BFD">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37.7±19.1 years</w:t>
            </w:r>
          </w:p>
        </w:tc>
        <w:tc>
          <w:tcPr>
            <w:tcW w:w="1538" w:type="dxa"/>
            <w:tcBorders>
              <w:top w:val="single" w:color="auto" w:sz="12" w:space="0"/>
            </w:tcBorders>
            <w:vAlign w:val="center"/>
          </w:tcPr>
          <w:p w14:paraId="5FCB4932">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MDR/XDR Gram-Negative Bacilli: PA 3/41</w:t>
            </w:r>
          </w:p>
        </w:tc>
        <w:tc>
          <w:tcPr>
            <w:tcW w:w="1518" w:type="dxa"/>
            <w:tcBorders>
              <w:top w:val="single" w:color="auto" w:sz="12" w:space="0"/>
            </w:tcBorders>
            <w:vAlign w:val="center"/>
          </w:tcPr>
          <w:p w14:paraId="14C3FD86">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Post-surgical carbapenem-resistant central nervous system (CNS) infections</w:t>
            </w:r>
          </w:p>
        </w:tc>
        <w:tc>
          <w:tcPr>
            <w:tcW w:w="1632" w:type="dxa"/>
            <w:tcBorders>
              <w:top w:val="single" w:color="auto" w:sz="12" w:space="0"/>
            </w:tcBorders>
            <w:vAlign w:val="center"/>
          </w:tcPr>
          <w:p w14:paraId="3DE1C8E8">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Intraventricular (IVT) Polymyxin B</w:t>
            </w:r>
          </w:p>
        </w:tc>
        <w:tc>
          <w:tcPr>
            <w:tcW w:w="1636" w:type="dxa"/>
            <w:tcBorders>
              <w:top w:val="single" w:color="auto" w:sz="12" w:space="0"/>
            </w:tcBorders>
            <w:vAlign w:val="center"/>
          </w:tcPr>
          <w:p w14:paraId="19E55436">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5mg/day, Median 19 (13,27) days</w:t>
            </w:r>
          </w:p>
        </w:tc>
        <w:tc>
          <w:tcPr>
            <w:tcW w:w="1483" w:type="dxa"/>
            <w:tcBorders>
              <w:top w:val="single" w:color="auto" w:sz="12" w:space="0"/>
            </w:tcBorders>
            <w:vAlign w:val="center"/>
          </w:tcPr>
          <w:p w14:paraId="0DDC4CA0">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Mortality</w:t>
            </w:r>
          </w:p>
        </w:tc>
      </w:tr>
      <w:tr w14:paraId="19F513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0" w:hRule="atLeast"/>
          <w:jc w:val="center"/>
        </w:trPr>
        <w:tc>
          <w:tcPr>
            <w:tcW w:w="1209" w:type="dxa"/>
            <w:vAlign w:val="center"/>
          </w:tcPr>
          <w:p w14:paraId="2207B854">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Liu 2022</w:t>
            </w:r>
          </w:p>
        </w:tc>
        <w:tc>
          <w:tcPr>
            <w:tcW w:w="1464" w:type="dxa"/>
            <w:vAlign w:val="center"/>
          </w:tcPr>
          <w:p w14:paraId="1D373061">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Retrospective Study (case series)</w:t>
            </w:r>
          </w:p>
        </w:tc>
        <w:tc>
          <w:tcPr>
            <w:tcW w:w="603" w:type="dxa"/>
            <w:vAlign w:val="center"/>
          </w:tcPr>
          <w:p w14:paraId="6947C61D">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China</w:t>
            </w:r>
          </w:p>
        </w:tc>
        <w:tc>
          <w:tcPr>
            <w:tcW w:w="854" w:type="dxa"/>
            <w:vAlign w:val="center"/>
          </w:tcPr>
          <w:p w14:paraId="01882E51">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41</w:t>
            </w:r>
          </w:p>
        </w:tc>
        <w:tc>
          <w:tcPr>
            <w:tcW w:w="2212" w:type="dxa"/>
            <w:vAlign w:val="center"/>
          </w:tcPr>
          <w:p w14:paraId="60657C7E">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We evaluated the efficacy and administration time of intraventricular (IVT) polymyxin B in the treatment of carbapenemresistant and multidrug-resistant/extensively drug-resistant (MDR/XDR) Gram-negative bacilli in central nervous system (CNS) infections and investigated prognostic factors.</w:t>
            </w:r>
          </w:p>
        </w:tc>
        <w:tc>
          <w:tcPr>
            <w:tcW w:w="1423" w:type="dxa"/>
            <w:vAlign w:val="center"/>
          </w:tcPr>
          <w:p w14:paraId="3065C7EA">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37.7±19.1 years</w:t>
            </w:r>
          </w:p>
        </w:tc>
        <w:tc>
          <w:tcPr>
            <w:tcW w:w="1538" w:type="dxa"/>
            <w:vAlign w:val="center"/>
          </w:tcPr>
          <w:p w14:paraId="4BB32EA7">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MDR/XDR Gram-Negative Bacilli: PA 3/41</w:t>
            </w:r>
          </w:p>
        </w:tc>
        <w:tc>
          <w:tcPr>
            <w:tcW w:w="1518" w:type="dxa"/>
            <w:vAlign w:val="center"/>
          </w:tcPr>
          <w:p w14:paraId="3411A3EC">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Post-surgical carbapenem-resistant central nervous system (CNS) infections</w:t>
            </w:r>
          </w:p>
        </w:tc>
        <w:tc>
          <w:tcPr>
            <w:tcW w:w="1632" w:type="dxa"/>
            <w:vAlign w:val="center"/>
          </w:tcPr>
          <w:p w14:paraId="23CA53C0">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Intraventricular (IVT) Polymyxin B</w:t>
            </w:r>
          </w:p>
        </w:tc>
        <w:tc>
          <w:tcPr>
            <w:tcW w:w="1636" w:type="dxa"/>
            <w:vAlign w:val="center"/>
          </w:tcPr>
          <w:p w14:paraId="23FBBD60">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5mg/day, Median 19 (13,27) days</w:t>
            </w:r>
          </w:p>
        </w:tc>
        <w:tc>
          <w:tcPr>
            <w:tcW w:w="1483" w:type="dxa"/>
            <w:vAlign w:val="center"/>
          </w:tcPr>
          <w:p w14:paraId="0B9CD070">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Mortality-30 day</w:t>
            </w:r>
          </w:p>
        </w:tc>
      </w:tr>
      <w:tr w14:paraId="5EDC2B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0" w:hRule="atLeast"/>
          <w:jc w:val="center"/>
        </w:trPr>
        <w:tc>
          <w:tcPr>
            <w:tcW w:w="1209" w:type="dxa"/>
            <w:vAlign w:val="center"/>
          </w:tcPr>
          <w:p w14:paraId="6A088B9B">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Liu 2022</w:t>
            </w:r>
          </w:p>
        </w:tc>
        <w:tc>
          <w:tcPr>
            <w:tcW w:w="1464" w:type="dxa"/>
            <w:vAlign w:val="center"/>
          </w:tcPr>
          <w:p w14:paraId="64E0B696">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Retrospective Study (case series)</w:t>
            </w:r>
          </w:p>
        </w:tc>
        <w:tc>
          <w:tcPr>
            <w:tcW w:w="603" w:type="dxa"/>
            <w:vAlign w:val="center"/>
          </w:tcPr>
          <w:p w14:paraId="1BC98D4F">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China</w:t>
            </w:r>
          </w:p>
        </w:tc>
        <w:tc>
          <w:tcPr>
            <w:tcW w:w="854" w:type="dxa"/>
            <w:vAlign w:val="center"/>
          </w:tcPr>
          <w:p w14:paraId="1E3EC9FF">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41</w:t>
            </w:r>
          </w:p>
        </w:tc>
        <w:tc>
          <w:tcPr>
            <w:tcW w:w="2212" w:type="dxa"/>
            <w:vAlign w:val="center"/>
          </w:tcPr>
          <w:p w14:paraId="69D7FB40">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We evaluated the efficacy and administration time of intraventricular (IVT) polymyxin B in the treatment of carbapenemresistant and multidrug-resistant/extensively drug-resistant (MDR/XDR) Gram-negative bacilli in central nervous system (CNS) infections and investigated prognostic factors.</w:t>
            </w:r>
          </w:p>
        </w:tc>
        <w:tc>
          <w:tcPr>
            <w:tcW w:w="1423" w:type="dxa"/>
            <w:vAlign w:val="center"/>
          </w:tcPr>
          <w:p w14:paraId="1DCEA842">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37.7±19.1 years</w:t>
            </w:r>
          </w:p>
        </w:tc>
        <w:tc>
          <w:tcPr>
            <w:tcW w:w="1538" w:type="dxa"/>
            <w:vAlign w:val="center"/>
          </w:tcPr>
          <w:p w14:paraId="1C19B5EF">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MDR/XDR Gram-Negative Bacilli: PA 3/41</w:t>
            </w:r>
          </w:p>
        </w:tc>
        <w:tc>
          <w:tcPr>
            <w:tcW w:w="1518" w:type="dxa"/>
            <w:vAlign w:val="center"/>
          </w:tcPr>
          <w:p w14:paraId="21655004">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Post-surgical carbapenem-resistant central nervous system (CNS) infections</w:t>
            </w:r>
          </w:p>
        </w:tc>
        <w:tc>
          <w:tcPr>
            <w:tcW w:w="1632" w:type="dxa"/>
            <w:vAlign w:val="center"/>
          </w:tcPr>
          <w:p w14:paraId="46BB7A27">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Intraventricular (IVT) Polymyxin B</w:t>
            </w:r>
          </w:p>
        </w:tc>
        <w:tc>
          <w:tcPr>
            <w:tcW w:w="1636" w:type="dxa"/>
            <w:vAlign w:val="center"/>
          </w:tcPr>
          <w:p w14:paraId="2149F5B3">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5mg/day, Median 19 (13,27) days</w:t>
            </w:r>
          </w:p>
        </w:tc>
        <w:tc>
          <w:tcPr>
            <w:tcW w:w="1483" w:type="dxa"/>
            <w:vAlign w:val="center"/>
          </w:tcPr>
          <w:p w14:paraId="2D638B1A">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Mortality-90 day</w:t>
            </w:r>
          </w:p>
        </w:tc>
      </w:tr>
      <w:tr w14:paraId="4DB54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0" w:hRule="atLeast"/>
          <w:jc w:val="center"/>
        </w:trPr>
        <w:tc>
          <w:tcPr>
            <w:tcW w:w="1209" w:type="dxa"/>
            <w:vAlign w:val="center"/>
          </w:tcPr>
          <w:p w14:paraId="3F7708E9">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Liu 2022</w:t>
            </w:r>
          </w:p>
        </w:tc>
        <w:tc>
          <w:tcPr>
            <w:tcW w:w="1464" w:type="dxa"/>
            <w:vAlign w:val="center"/>
          </w:tcPr>
          <w:p w14:paraId="549DB2DA">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Retrospective Study (case series)</w:t>
            </w:r>
          </w:p>
        </w:tc>
        <w:tc>
          <w:tcPr>
            <w:tcW w:w="603" w:type="dxa"/>
            <w:vAlign w:val="center"/>
          </w:tcPr>
          <w:p w14:paraId="40E337BA">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China</w:t>
            </w:r>
          </w:p>
        </w:tc>
        <w:tc>
          <w:tcPr>
            <w:tcW w:w="854" w:type="dxa"/>
            <w:vAlign w:val="center"/>
          </w:tcPr>
          <w:p w14:paraId="67DDAEF0">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41</w:t>
            </w:r>
          </w:p>
        </w:tc>
        <w:tc>
          <w:tcPr>
            <w:tcW w:w="2212" w:type="dxa"/>
            <w:vAlign w:val="center"/>
          </w:tcPr>
          <w:p w14:paraId="3E8D1B42">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We evaluated the efficacy and administration time of intraventricular (IVT) polymyxin B in the treatment of carbapenemresistant and multidrug-resistant/extensively drug-resistant (MDR/XDR) Gram-negative bacilli in central nervous system (CNS) infections and investigated prognostic factors.</w:t>
            </w:r>
          </w:p>
        </w:tc>
        <w:tc>
          <w:tcPr>
            <w:tcW w:w="1423" w:type="dxa"/>
            <w:vAlign w:val="center"/>
          </w:tcPr>
          <w:p w14:paraId="465B864C">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37.7±19.1 years</w:t>
            </w:r>
          </w:p>
        </w:tc>
        <w:tc>
          <w:tcPr>
            <w:tcW w:w="1538" w:type="dxa"/>
            <w:vAlign w:val="center"/>
          </w:tcPr>
          <w:p w14:paraId="403BEAD9">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MDR/XDR Gram-Negative Bacilli: PA 3/41</w:t>
            </w:r>
          </w:p>
        </w:tc>
        <w:tc>
          <w:tcPr>
            <w:tcW w:w="1518" w:type="dxa"/>
            <w:vAlign w:val="center"/>
          </w:tcPr>
          <w:p w14:paraId="55AD6D7C">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Post-surgical carbapenem-resistant central nervous system (CNS) infections</w:t>
            </w:r>
          </w:p>
        </w:tc>
        <w:tc>
          <w:tcPr>
            <w:tcW w:w="1632" w:type="dxa"/>
            <w:vAlign w:val="center"/>
          </w:tcPr>
          <w:p w14:paraId="794E020A">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Intraventricular (IVT) Polymyxin B</w:t>
            </w:r>
          </w:p>
        </w:tc>
        <w:tc>
          <w:tcPr>
            <w:tcW w:w="1636" w:type="dxa"/>
            <w:vAlign w:val="center"/>
          </w:tcPr>
          <w:p w14:paraId="40B12B39">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5mg/day, Median 19 (13,27) days</w:t>
            </w:r>
          </w:p>
        </w:tc>
        <w:tc>
          <w:tcPr>
            <w:tcW w:w="1483" w:type="dxa"/>
            <w:vAlign w:val="center"/>
          </w:tcPr>
          <w:p w14:paraId="67D411A1">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Bacterial clearance rate</w:t>
            </w:r>
          </w:p>
        </w:tc>
      </w:tr>
      <w:tr w14:paraId="28B34C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0" w:hRule="atLeast"/>
          <w:jc w:val="center"/>
        </w:trPr>
        <w:tc>
          <w:tcPr>
            <w:tcW w:w="1209" w:type="dxa"/>
            <w:vAlign w:val="center"/>
          </w:tcPr>
          <w:p w14:paraId="3F13753E">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Liu 2022</w:t>
            </w:r>
          </w:p>
        </w:tc>
        <w:tc>
          <w:tcPr>
            <w:tcW w:w="1464" w:type="dxa"/>
            <w:vAlign w:val="center"/>
          </w:tcPr>
          <w:p w14:paraId="68859374">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Retrospective Study (case series)</w:t>
            </w:r>
          </w:p>
        </w:tc>
        <w:tc>
          <w:tcPr>
            <w:tcW w:w="603" w:type="dxa"/>
            <w:vAlign w:val="center"/>
          </w:tcPr>
          <w:p w14:paraId="6776B15D">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China</w:t>
            </w:r>
          </w:p>
        </w:tc>
        <w:tc>
          <w:tcPr>
            <w:tcW w:w="854" w:type="dxa"/>
            <w:vAlign w:val="center"/>
          </w:tcPr>
          <w:p w14:paraId="4F7F3006">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41</w:t>
            </w:r>
          </w:p>
        </w:tc>
        <w:tc>
          <w:tcPr>
            <w:tcW w:w="2212" w:type="dxa"/>
            <w:vAlign w:val="center"/>
          </w:tcPr>
          <w:p w14:paraId="5D623DF4">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We evaluated the efficacy and administration time of intraventricular (IVT) polymyxin B in the treatment of carbapenemresistant and multidrug-resistant/extensively drug-resistant (MDR/XDR) Gram-negative bacilli in central nervous system (CNS) infections and investigated prognostic factors.</w:t>
            </w:r>
          </w:p>
        </w:tc>
        <w:tc>
          <w:tcPr>
            <w:tcW w:w="1423" w:type="dxa"/>
            <w:vAlign w:val="center"/>
          </w:tcPr>
          <w:p w14:paraId="1CEFA970">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37.7±19.1 years</w:t>
            </w:r>
          </w:p>
        </w:tc>
        <w:tc>
          <w:tcPr>
            <w:tcW w:w="1538" w:type="dxa"/>
            <w:vAlign w:val="center"/>
          </w:tcPr>
          <w:p w14:paraId="3143E177">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MDR/XDR Gram-Negative Bacilli: PA 3/41</w:t>
            </w:r>
          </w:p>
        </w:tc>
        <w:tc>
          <w:tcPr>
            <w:tcW w:w="1518" w:type="dxa"/>
            <w:vAlign w:val="center"/>
          </w:tcPr>
          <w:p w14:paraId="142D596A">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Post-surgical carbapenem-resistant central nervous system (CNS) infections</w:t>
            </w:r>
          </w:p>
        </w:tc>
        <w:tc>
          <w:tcPr>
            <w:tcW w:w="1632" w:type="dxa"/>
            <w:vAlign w:val="center"/>
          </w:tcPr>
          <w:p w14:paraId="2ACC006A">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Intraventricular (IVT) Polymyxin B</w:t>
            </w:r>
          </w:p>
        </w:tc>
        <w:tc>
          <w:tcPr>
            <w:tcW w:w="1636" w:type="dxa"/>
            <w:vAlign w:val="center"/>
          </w:tcPr>
          <w:p w14:paraId="6F38B23B">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5mg/day, Median 19 (13,27) days</w:t>
            </w:r>
          </w:p>
        </w:tc>
        <w:tc>
          <w:tcPr>
            <w:tcW w:w="1483" w:type="dxa"/>
            <w:vAlign w:val="center"/>
          </w:tcPr>
          <w:p w14:paraId="6D1A6576">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Cured rate</w:t>
            </w:r>
          </w:p>
        </w:tc>
      </w:tr>
      <w:tr w14:paraId="64B261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0" w:hRule="atLeast"/>
          <w:jc w:val="center"/>
        </w:trPr>
        <w:tc>
          <w:tcPr>
            <w:tcW w:w="1209" w:type="dxa"/>
            <w:vAlign w:val="center"/>
          </w:tcPr>
          <w:p w14:paraId="018E05EA">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Liu 2022</w:t>
            </w:r>
          </w:p>
        </w:tc>
        <w:tc>
          <w:tcPr>
            <w:tcW w:w="1464" w:type="dxa"/>
            <w:vAlign w:val="center"/>
          </w:tcPr>
          <w:p w14:paraId="4085994E">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Retrospective Study (case series)</w:t>
            </w:r>
          </w:p>
        </w:tc>
        <w:tc>
          <w:tcPr>
            <w:tcW w:w="603" w:type="dxa"/>
            <w:vAlign w:val="center"/>
          </w:tcPr>
          <w:p w14:paraId="6057211F">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China</w:t>
            </w:r>
          </w:p>
        </w:tc>
        <w:tc>
          <w:tcPr>
            <w:tcW w:w="854" w:type="dxa"/>
            <w:vAlign w:val="center"/>
          </w:tcPr>
          <w:p w14:paraId="099E9B20">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41</w:t>
            </w:r>
          </w:p>
        </w:tc>
        <w:tc>
          <w:tcPr>
            <w:tcW w:w="2212" w:type="dxa"/>
            <w:vAlign w:val="center"/>
          </w:tcPr>
          <w:p w14:paraId="24B1CD94">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We evaluated the efficacy and administration time of intraventricular (IVT) polymyxin B in the treatment of carbapenemresistant and multidrug-resistant/extensively drug-resistant (MDR/XDR) Gram-negative bacilli in central nervous system (CNS) infections and investigated prognostic factors.</w:t>
            </w:r>
          </w:p>
        </w:tc>
        <w:tc>
          <w:tcPr>
            <w:tcW w:w="1423" w:type="dxa"/>
            <w:vAlign w:val="center"/>
          </w:tcPr>
          <w:p w14:paraId="54286E06">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37.7±19.1 years</w:t>
            </w:r>
          </w:p>
        </w:tc>
        <w:tc>
          <w:tcPr>
            <w:tcW w:w="1538" w:type="dxa"/>
            <w:vAlign w:val="center"/>
          </w:tcPr>
          <w:p w14:paraId="2E11AC0E">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MDR/XDR Gram-Negative Bacilli: PA 3/41</w:t>
            </w:r>
          </w:p>
        </w:tc>
        <w:tc>
          <w:tcPr>
            <w:tcW w:w="1518" w:type="dxa"/>
            <w:vAlign w:val="center"/>
          </w:tcPr>
          <w:p w14:paraId="770260B0">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Post-surgical carbapenem-resistant central nervous system (CNS) infections</w:t>
            </w:r>
          </w:p>
        </w:tc>
        <w:tc>
          <w:tcPr>
            <w:tcW w:w="1632" w:type="dxa"/>
            <w:vAlign w:val="center"/>
          </w:tcPr>
          <w:p w14:paraId="31442458">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Intraventricular (IVT) Polymyxin B</w:t>
            </w:r>
          </w:p>
        </w:tc>
        <w:tc>
          <w:tcPr>
            <w:tcW w:w="1636" w:type="dxa"/>
            <w:vAlign w:val="center"/>
          </w:tcPr>
          <w:p w14:paraId="1E3306BB">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5mg/day, Median 19 (13,27) days</w:t>
            </w:r>
          </w:p>
        </w:tc>
        <w:tc>
          <w:tcPr>
            <w:tcW w:w="1483" w:type="dxa"/>
            <w:vAlign w:val="center"/>
          </w:tcPr>
          <w:p w14:paraId="269607B5">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Adverse events-Acute kidney injury (AKI)</w:t>
            </w:r>
          </w:p>
        </w:tc>
      </w:tr>
      <w:tr w14:paraId="2A3A51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0" w:hRule="atLeast"/>
          <w:jc w:val="center"/>
        </w:trPr>
        <w:tc>
          <w:tcPr>
            <w:tcW w:w="1209" w:type="dxa"/>
            <w:vAlign w:val="center"/>
          </w:tcPr>
          <w:p w14:paraId="2A430A31">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Liu 2022</w:t>
            </w:r>
          </w:p>
        </w:tc>
        <w:tc>
          <w:tcPr>
            <w:tcW w:w="1464" w:type="dxa"/>
            <w:vAlign w:val="center"/>
          </w:tcPr>
          <w:p w14:paraId="68EAD00B">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Retrospective Study (case series)</w:t>
            </w:r>
          </w:p>
        </w:tc>
        <w:tc>
          <w:tcPr>
            <w:tcW w:w="603" w:type="dxa"/>
            <w:vAlign w:val="center"/>
          </w:tcPr>
          <w:p w14:paraId="133C1276">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China</w:t>
            </w:r>
          </w:p>
        </w:tc>
        <w:tc>
          <w:tcPr>
            <w:tcW w:w="854" w:type="dxa"/>
            <w:vAlign w:val="center"/>
          </w:tcPr>
          <w:p w14:paraId="029CF1E4">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41</w:t>
            </w:r>
          </w:p>
        </w:tc>
        <w:tc>
          <w:tcPr>
            <w:tcW w:w="2212" w:type="dxa"/>
            <w:vAlign w:val="center"/>
          </w:tcPr>
          <w:p w14:paraId="59F87412">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We evaluated the efficacy and administration time of intraventricular (IVT) polymyxin B in the treatment of carbapenemresistant and multidrug-resistant/extensively drug-resistant (MDR/XDR) Gram-negative bacilli in central nervous system (CNS) infections and investigated prognostic factors.</w:t>
            </w:r>
          </w:p>
        </w:tc>
        <w:tc>
          <w:tcPr>
            <w:tcW w:w="1423" w:type="dxa"/>
            <w:vAlign w:val="center"/>
          </w:tcPr>
          <w:p w14:paraId="2B89B1E1">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37.7±19.1 years</w:t>
            </w:r>
          </w:p>
        </w:tc>
        <w:tc>
          <w:tcPr>
            <w:tcW w:w="1538" w:type="dxa"/>
            <w:vAlign w:val="center"/>
          </w:tcPr>
          <w:p w14:paraId="5C79DF53">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MDR/XDR Gram-Negative Bacilli: PA 3/41</w:t>
            </w:r>
          </w:p>
        </w:tc>
        <w:tc>
          <w:tcPr>
            <w:tcW w:w="1518" w:type="dxa"/>
            <w:vAlign w:val="center"/>
          </w:tcPr>
          <w:p w14:paraId="4A796425">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Post-surgical carbapenem-resistant central nervous system (CNS) infections</w:t>
            </w:r>
          </w:p>
        </w:tc>
        <w:tc>
          <w:tcPr>
            <w:tcW w:w="1632" w:type="dxa"/>
            <w:vAlign w:val="center"/>
          </w:tcPr>
          <w:p w14:paraId="2E03B5FC">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Intraventricular (IVT) Polymyxin B</w:t>
            </w:r>
          </w:p>
        </w:tc>
        <w:tc>
          <w:tcPr>
            <w:tcW w:w="1636" w:type="dxa"/>
            <w:vAlign w:val="center"/>
          </w:tcPr>
          <w:p w14:paraId="5F695684">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5mg/day, Median 19 (13,27) days</w:t>
            </w:r>
          </w:p>
        </w:tc>
        <w:tc>
          <w:tcPr>
            <w:tcW w:w="1483" w:type="dxa"/>
            <w:vAlign w:val="center"/>
          </w:tcPr>
          <w:p w14:paraId="6728FB37">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Adverse events-Epilepsy</w:t>
            </w:r>
          </w:p>
        </w:tc>
      </w:tr>
      <w:tr w14:paraId="01B756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0" w:hRule="atLeast"/>
          <w:jc w:val="center"/>
        </w:trPr>
        <w:tc>
          <w:tcPr>
            <w:tcW w:w="1209" w:type="dxa"/>
            <w:vAlign w:val="center"/>
          </w:tcPr>
          <w:p w14:paraId="1A45863F">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Yasmin 2021</w:t>
            </w:r>
          </w:p>
        </w:tc>
        <w:tc>
          <w:tcPr>
            <w:tcW w:w="1464" w:type="dxa"/>
            <w:vAlign w:val="center"/>
          </w:tcPr>
          <w:p w14:paraId="783BDCC6">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Abstract(case series)</w:t>
            </w:r>
          </w:p>
        </w:tc>
        <w:tc>
          <w:tcPr>
            <w:tcW w:w="603" w:type="dxa"/>
            <w:vAlign w:val="center"/>
          </w:tcPr>
          <w:p w14:paraId="2B91997B">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USA</w:t>
            </w:r>
          </w:p>
        </w:tc>
        <w:tc>
          <w:tcPr>
            <w:tcW w:w="854" w:type="dxa"/>
            <w:vAlign w:val="center"/>
          </w:tcPr>
          <w:p w14:paraId="0BB9DFC6">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w:t>
            </w:r>
          </w:p>
        </w:tc>
        <w:tc>
          <w:tcPr>
            <w:tcW w:w="2212" w:type="dxa"/>
            <w:vAlign w:val="center"/>
          </w:tcPr>
          <w:p w14:paraId="74CA6B78">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We describe the utilization of intravenous and intrathecal polymyxin E [colistimethate (CMS)] therapeutic drug monitoring (TDM) in 3 cases of post-neurosurgical meningitis.</w:t>
            </w:r>
          </w:p>
        </w:tc>
        <w:tc>
          <w:tcPr>
            <w:tcW w:w="1423" w:type="dxa"/>
            <w:vAlign w:val="center"/>
          </w:tcPr>
          <w:p w14:paraId="1489D1CF">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NA</w:t>
            </w:r>
          </w:p>
        </w:tc>
        <w:tc>
          <w:tcPr>
            <w:tcW w:w="1538" w:type="dxa"/>
            <w:vAlign w:val="center"/>
          </w:tcPr>
          <w:p w14:paraId="0642A561">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Carbapenem-resistant Enterobacterales (CRE) and Difficult-to-treat resistant (DTR)-P. aeruginosa (PA)</w:t>
            </w:r>
          </w:p>
        </w:tc>
        <w:tc>
          <w:tcPr>
            <w:tcW w:w="1518" w:type="dxa"/>
            <w:vAlign w:val="center"/>
          </w:tcPr>
          <w:p w14:paraId="45CF3009">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Neurosurgical Meningitis caused by Pseudomonas aeruginosa and KPC-producing Enterobacterales</w:t>
            </w:r>
          </w:p>
        </w:tc>
        <w:tc>
          <w:tcPr>
            <w:tcW w:w="1632" w:type="dxa"/>
            <w:vAlign w:val="center"/>
          </w:tcPr>
          <w:p w14:paraId="3872B325">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Intravenous(IV) and Intrathecal (IT) polymyxin E [colistimethate (CMS)]</w:t>
            </w:r>
          </w:p>
        </w:tc>
        <w:tc>
          <w:tcPr>
            <w:tcW w:w="1636" w:type="dxa"/>
            <w:vAlign w:val="center"/>
          </w:tcPr>
          <w:p w14:paraId="234F5F2C">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Patients A, B and C received 20, 15, and 12 doses of polymyxin E [colistimethate (CMS)], respectively</w:t>
            </w:r>
          </w:p>
        </w:tc>
        <w:tc>
          <w:tcPr>
            <w:tcW w:w="1483" w:type="dxa"/>
            <w:vAlign w:val="center"/>
          </w:tcPr>
          <w:p w14:paraId="3702CE76">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NR</w:t>
            </w:r>
          </w:p>
        </w:tc>
      </w:tr>
      <w:tr w14:paraId="413F96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0" w:hRule="atLeast"/>
          <w:jc w:val="center"/>
        </w:trPr>
        <w:tc>
          <w:tcPr>
            <w:tcW w:w="1209" w:type="dxa"/>
            <w:vAlign w:val="center"/>
          </w:tcPr>
          <w:p w14:paraId="717FC585">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Madan 2018</w:t>
            </w:r>
          </w:p>
        </w:tc>
        <w:tc>
          <w:tcPr>
            <w:tcW w:w="1464" w:type="dxa"/>
            <w:vAlign w:val="center"/>
          </w:tcPr>
          <w:p w14:paraId="4DC973E8">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Abstract(prospective and retrospective observational study)</w:t>
            </w:r>
          </w:p>
        </w:tc>
        <w:tc>
          <w:tcPr>
            <w:tcW w:w="603" w:type="dxa"/>
            <w:vAlign w:val="center"/>
          </w:tcPr>
          <w:p w14:paraId="44706E1D">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India</w:t>
            </w:r>
          </w:p>
        </w:tc>
        <w:tc>
          <w:tcPr>
            <w:tcW w:w="854" w:type="dxa"/>
            <w:vAlign w:val="center"/>
          </w:tcPr>
          <w:p w14:paraId="283D186B">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6</w:t>
            </w:r>
          </w:p>
        </w:tc>
        <w:tc>
          <w:tcPr>
            <w:tcW w:w="2212" w:type="dxa"/>
            <w:vAlign w:val="center"/>
          </w:tcPr>
          <w:p w14:paraId="4ADE7818">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To study the etiology, management and risk factors of post-neurosurgical meningitis.</w:t>
            </w:r>
          </w:p>
        </w:tc>
        <w:tc>
          <w:tcPr>
            <w:tcW w:w="1423" w:type="dxa"/>
            <w:vAlign w:val="center"/>
          </w:tcPr>
          <w:p w14:paraId="53B20589">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NR</w:t>
            </w:r>
          </w:p>
        </w:tc>
        <w:tc>
          <w:tcPr>
            <w:tcW w:w="1538" w:type="dxa"/>
            <w:vAlign w:val="center"/>
          </w:tcPr>
          <w:p w14:paraId="6F8B4A49">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Various organisms isolated were Staphylococcus aureus, vancomycin resistantenterococci (VRE), Escherichia coli, Pseudomonas aeruginosa, Pseudomonas stutzeri and Klebsiella pneumoniae.</w:t>
            </w:r>
          </w:p>
        </w:tc>
        <w:tc>
          <w:tcPr>
            <w:tcW w:w="1518" w:type="dxa"/>
            <w:vAlign w:val="center"/>
          </w:tcPr>
          <w:p w14:paraId="4DADB37A">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Post-neurosurgical meningitis</w:t>
            </w:r>
          </w:p>
        </w:tc>
        <w:tc>
          <w:tcPr>
            <w:tcW w:w="1632" w:type="dxa"/>
            <w:vAlign w:val="center"/>
          </w:tcPr>
          <w:p w14:paraId="1BCB2AF6">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color w:val="FF0000"/>
                <w:kern w:val="0"/>
                <w:sz w:val="18"/>
                <w:szCs w:val="18"/>
              </w:rPr>
            </w:pPr>
            <w:r>
              <w:rPr>
                <w:rFonts w:hint="default" w:ascii="Times New Roman" w:hAnsi="Times New Roman" w:eastAsia="宋体" w:cs="Times New Roman"/>
                <w:color w:val="FF0000"/>
                <w:kern w:val="0"/>
                <w:sz w:val="18"/>
                <w:szCs w:val="18"/>
              </w:rPr>
              <w:t xml:space="preserve">1 patient: meropenem and intrathecal colistin; </w:t>
            </w:r>
            <w:r>
              <w:rPr>
                <w:rFonts w:hint="default" w:ascii="Times New Roman" w:hAnsi="Times New Roman" w:eastAsia="宋体" w:cs="Times New Roman"/>
                <w:kern w:val="0"/>
                <w:sz w:val="18"/>
                <w:szCs w:val="18"/>
              </w:rPr>
              <w:t>其他不确定用药情况</w:t>
            </w:r>
            <w:r>
              <w:rPr>
                <w:rFonts w:hint="default" w:ascii="Times New Roman" w:hAnsi="Times New Roman" w:eastAsia="宋体" w:cs="Times New Roman"/>
                <w:kern w:val="0"/>
                <w:sz w:val="18"/>
                <w:szCs w:val="18"/>
              </w:rPr>
              <w:br w:type="textWrapping"/>
            </w:r>
            <w:r>
              <w:rPr>
                <w:rFonts w:hint="default" w:ascii="Times New Roman" w:hAnsi="Times New Roman" w:eastAsia="宋体" w:cs="Times New Roman"/>
                <w:kern w:val="0"/>
                <w:sz w:val="18"/>
                <w:szCs w:val="18"/>
              </w:rPr>
              <w:t>Antibiotics used for treatment included cloxacillin, linezolid, daptomycin, meropenem, ceftriaxone, ciprofloxacin and colistin; based on organism identification and susceptibility.</w:t>
            </w:r>
          </w:p>
        </w:tc>
        <w:tc>
          <w:tcPr>
            <w:tcW w:w="1636" w:type="dxa"/>
            <w:vAlign w:val="center"/>
          </w:tcPr>
          <w:p w14:paraId="5C3BD876">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1 patient: meropenem and intrathecal colistin;</w:t>
            </w:r>
          </w:p>
        </w:tc>
        <w:tc>
          <w:tcPr>
            <w:tcW w:w="1483" w:type="dxa"/>
            <w:vAlign w:val="center"/>
          </w:tcPr>
          <w:p w14:paraId="7EEC1070">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Mortality</w:t>
            </w:r>
          </w:p>
        </w:tc>
      </w:tr>
      <w:tr w14:paraId="1B9DEB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0" w:hRule="atLeast"/>
          <w:jc w:val="center"/>
        </w:trPr>
        <w:tc>
          <w:tcPr>
            <w:tcW w:w="1209" w:type="dxa"/>
            <w:vAlign w:val="center"/>
          </w:tcPr>
          <w:p w14:paraId="3F749907">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Hu 2024</w:t>
            </w:r>
          </w:p>
        </w:tc>
        <w:tc>
          <w:tcPr>
            <w:tcW w:w="1464" w:type="dxa"/>
            <w:vAlign w:val="center"/>
          </w:tcPr>
          <w:p w14:paraId="771F71B7">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Retrospective Study</w:t>
            </w:r>
          </w:p>
        </w:tc>
        <w:tc>
          <w:tcPr>
            <w:tcW w:w="603" w:type="dxa"/>
            <w:vAlign w:val="center"/>
          </w:tcPr>
          <w:p w14:paraId="0C5A60F6">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China</w:t>
            </w:r>
          </w:p>
        </w:tc>
        <w:tc>
          <w:tcPr>
            <w:tcW w:w="854" w:type="dxa"/>
            <w:vAlign w:val="center"/>
          </w:tcPr>
          <w:p w14:paraId="02466B01">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114</w:t>
            </w:r>
          </w:p>
        </w:tc>
        <w:tc>
          <w:tcPr>
            <w:tcW w:w="2212" w:type="dxa"/>
            <w:vAlign w:val="center"/>
          </w:tcPr>
          <w:p w14:paraId="6283AA3A">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assess the current practices and clinical outcomes of intravenous (IV)   combined with intraventricular (IVT)/intrathecal (ITH) polymyxin B in treating CRGNB intracranial infection</w:t>
            </w:r>
          </w:p>
        </w:tc>
        <w:tc>
          <w:tcPr>
            <w:tcW w:w="1423" w:type="dxa"/>
            <w:vAlign w:val="center"/>
          </w:tcPr>
          <w:p w14:paraId="70265AFF">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Madian range 58 [49, 66] (IVT/ITH group); 48 [36.5, 55] (IV group)</w:t>
            </w:r>
          </w:p>
        </w:tc>
        <w:tc>
          <w:tcPr>
            <w:tcW w:w="1538" w:type="dxa"/>
            <w:vAlign w:val="center"/>
          </w:tcPr>
          <w:p w14:paraId="0A7DD702">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All CSF cultured demonstrated CRGNB, including 72 cases (63.2%) of carbapenem-resistant A. baumannii (CRAB) infection, 36 (31.6%) of carbapenem-resistant K. pneumoniae (CRKP) infection, 4 (3.5%) of carbapenem-resistant P. aeruginosa (CRPA) infection, and 2 (1.8%) of other carbapenem-resistant Enterobacteriaceae (CRE) infection</w:t>
            </w:r>
          </w:p>
        </w:tc>
        <w:tc>
          <w:tcPr>
            <w:tcW w:w="1518" w:type="dxa"/>
            <w:vAlign w:val="center"/>
          </w:tcPr>
          <w:p w14:paraId="18AE30A2">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Post-neurosurgical intracranial infection caused by carbapenem-resistant gram-negative bacteria (CRGNB)</w:t>
            </w:r>
          </w:p>
        </w:tc>
        <w:tc>
          <w:tcPr>
            <w:tcW w:w="1632" w:type="dxa"/>
            <w:vAlign w:val="center"/>
          </w:tcPr>
          <w:p w14:paraId="6D8C8693">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Intravenous (IV) combined with intraventricular (IVT)</w:t>
            </w:r>
            <w:r>
              <w:rPr>
                <w:rFonts w:hint="default" w:ascii="Times New Roman" w:hAnsi="Times New Roman" w:eastAsia="宋体" w:cs="Times New Roman"/>
                <w:kern w:val="0"/>
                <w:sz w:val="18"/>
                <w:szCs w:val="18"/>
                <w:lang w:val="en-US" w:eastAsia="zh-CN"/>
              </w:rPr>
              <w:t xml:space="preserve"> vs. IV </w:t>
            </w:r>
            <w:r>
              <w:rPr>
                <w:rFonts w:hint="default" w:ascii="Times New Roman" w:hAnsi="Times New Roman" w:eastAsia="宋体" w:cs="Times New Roman"/>
                <w:kern w:val="0"/>
                <w:sz w:val="18"/>
                <w:szCs w:val="18"/>
              </w:rPr>
              <w:t>polymyxin B</w:t>
            </w:r>
          </w:p>
        </w:tc>
        <w:tc>
          <w:tcPr>
            <w:tcW w:w="1636" w:type="dxa"/>
            <w:vAlign w:val="center"/>
          </w:tcPr>
          <w:p w14:paraId="4313996F">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5 mg/day,NR</w:t>
            </w:r>
          </w:p>
        </w:tc>
        <w:tc>
          <w:tcPr>
            <w:tcW w:w="1483" w:type="dxa"/>
            <w:vAlign w:val="center"/>
          </w:tcPr>
          <w:p w14:paraId="61F1FDAE">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Mortality</w:t>
            </w:r>
          </w:p>
        </w:tc>
      </w:tr>
      <w:tr w14:paraId="16A8D2C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0" w:hRule="atLeast"/>
          <w:jc w:val="center"/>
        </w:trPr>
        <w:tc>
          <w:tcPr>
            <w:tcW w:w="1209" w:type="dxa"/>
            <w:vAlign w:val="center"/>
          </w:tcPr>
          <w:p w14:paraId="14627D48">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Gofman 2018</w:t>
            </w:r>
          </w:p>
        </w:tc>
        <w:tc>
          <w:tcPr>
            <w:tcW w:w="1464" w:type="dxa"/>
            <w:vAlign w:val="center"/>
          </w:tcPr>
          <w:p w14:paraId="216CECB4">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Case report</w:t>
            </w:r>
          </w:p>
        </w:tc>
        <w:tc>
          <w:tcPr>
            <w:tcW w:w="603" w:type="dxa"/>
            <w:vAlign w:val="center"/>
          </w:tcPr>
          <w:p w14:paraId="6AC17C0C">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USA</w:t>
            </w:r>
          </w:p>
        </w:tc>
        <w:tc>
          <w:tcPr>
            <w:tcW w:w="854" w:type="dxa"/>
            <w:vAlign w:val="center"/>
          </w:tcPr>
          <w:p w14:paraId="1BC0BD37">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1</w:t>
            </w:r>
          </w:p>
        </w:tc>
        <w:tc>
          <w:tcPr>
            <w:tcW w:w="2212" w:type="dxa"/>
            <w:vAlign w:val="center"/>
          </w:tcPr>
          <w:p w14:paraId="4C27AD30">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A patient with carbapenem-resistant Klebsiella pneumoniae infection is described, and treatment options are discussed.</w:t>
            </w:r>
          </w:p>
        </w:tc>
        <w:tc>
          <w:tcPr>
            <w:tcW w:w="1423" w:type="dxa"/>
            <w:vAlign w:val="center"/>
          </w:tcPr>
          <w:p w14:paraId="292BEBD9">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32-year-old</w:t>
            </w:r>
          </w:p>
        </w:tc>
        <w:tc>
          <w:tcPr>
            <w:tcW w:w="1538" w:type="dxa"/>
            <w:vAlign w:val="center"/>
          </w:tcPr>
          <w:p w14:paraId="15039C68">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Pseudomonas aeruginosa and carbapenem-resistant Klebsiella pneumoniae</w:t>
            </w:r>
          </w:p>
        </w:tc>
        <w:tc>
          <w:tcPr>
            <w:tcW w:w="1518" w:type="dxa"/>
            <w:vAlign w:val="center"/>
          </w:tcPr>
          <w:p w14:paraId="4693FA94">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Ventriculitis</w:t>
            </w:r>
          </w:p>
        </w:tc>
        <w:tc>
          <w:tcPr>
            <w:tcW w:w="1632" w:type="dxa"/>
            <w:vAlign w:val="center"/>
          </w:tcPr>
          <w:p w14:paraId="3600CD78">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A month of treatment with various antibiotic regimens. i.v. (Intravenous injection) ceftazidime–avibactam and intrathecal amikacin therapy</w:t>
            </w:r>
          </w:p>
        </w:tc>
        <w:tc>
          <w:tcPr>
            <w:tcW w:w="1636" w:type="dxa"/>
            <w:vAlign w:val="center"/>
          </w:tcPr>
          <w:p w14:paraId="57D735EE">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A month of treatment with various antibiotic regimens i.v. (Intravenous injection) ceftazidime–avibactam and intrathecal amikacin therapy</w:t>
            </w:r>
          </w:p>
        </w:tc>
        <w:tc>
          <w:tcPr>
            <w:tcW w:w="1483" w:type="dxa"/>
            <w:vAlign w:val="center"/>
          </w:tcPr>
          <w:p w14:paraId="763CD448">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Conclusion. A man with ventriculitis caused by P. aeruginosa and carbapenem-resistant K. pneumoniae was successfully treated with i.v. ceftazidime–avibactam and intrathecal amikacin</w:t>
            </w:r>
          </w:p>
        </w:tc>
      </w:tr>
      <w:tr w14:paraId="5BA947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0" w:hRule="atLeast"/>
          <w:jc w:val="center"/>
        </w:trPr>
        <w:tc>
          <w:tcPr>
            <w:tcW w:w="1209" w:type="dxa"/>
            <w:vAlign w:val="center"/>
          </w:tcPr>
          <w:p w14:paraId="65AB099D">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GUMP 2005</w:t>
            </w:r>
          </w:p>
        </w:tc>
        <w:tc>
          <w:tcPr>
            <w:tcW w:w="1464" w:type="dxa"/>
            <w:vAlign w:val="center"/>
          </w:tcPr>
          <w:p w14:paraId="6D9CA665">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Case report</w:t>
            </w:r>
          </w:p>
        </w:tc>
        <w:tc>
          <w:tcPr>
            <w:tcW w:w="603" w:type="dxa"/>
            <w:vAlign w:val="center"/>
          </w:tcPr>
          <w:p w14:paraId="2DA87325">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USA</w:t>
            </w:r>
          </w:p>
        </w:tc>
        <w:tc>
          <w:tcPr>
            <w:tcW w:w="854" w:type="dxa"/>
            <w:vAlign w:val="center"/>
          </w:tcPr>
          <w:p w14:paraId="32560F0F">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1</w:t>
            </w:r>
          </w:p>
        </w:tc>
        <w:tc>
          <w:tcPr>
            <w:tcW w:w="2212" w:type="dxa"/>
            <w:vAlign w:val="center"/>
          </w:tcPr>
          <w:p w14:paraId="2A8C8A44">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The authors presentthe case of a 51-year-old woman who endured protracted hospitalization and required multiple surgeries including placement of a ventriculoperitoneal shunt. The shunt subsequently became colonized with Pseudomonas aeruginosa, which demonstrated intermediate sensitivity to amikacin and full resistance to all other antibiotics tested. After failing to respond to intravenous imipenem as well as intravenous and intrathecal amikacin, the patient was successfully treated with intravenous and intrathecal colistin.</w:t>
            </w:r>
          </w:p>
        </w:tc>
        <w:tc>
          <w:tcPr>
            <w:tcW w:w="1423" w:type="dxa"/>
            <w:vAlign w:val="center"/>
          </w:tcPr>
          <w:p w14:paraId="6CA1280B">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51-year-old</w:t>
            </w:r>
          </w:p>
        </w:tc>
        <w:tc>
          <w:tcPr>
            <w:tcW w:w="1538" w:type="dxa"/>
            <w:vAlign w:val="center"/>
          </w:tcPr>
          <w:p w14:paraId="7D8A29ED">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Highly resistant Pseudomonas aeruginosa</w:t>
            </w:r>
          </w:p>
        </w:tc>
        <w:tc>
          <w:tcPr>
            <w:tcW w:w="1518" w:type="dxa"/>
            <w:vAlign w:val="center"/>
          </w:tcPr>
          <w:p w14:paraId="387753B9">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Ventriculitis</w:t>
            </w:r>
          </w:p>
        </w:tc>
        <w:tc>
          <w:tcPr>
            <w:tcW w:w="1632" w:type="dxa"/>
            <w:vAlign w:val="center"/>
          </w:tcPr>
          <w:p w14:paraId="54D3A5F7">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On postexternalization Day 6,</w:t>
            </w:r>
            <w:r>
              <w:rPr>
                <w:rFonts w:hint="default" w:ascii="Times New Roman" w:hAnsi="Times New Roman" w:eastAsia="宋体" w:cs="Times New Roman"/>
                <w:b/>
                <w:bCs/>
                <w:kern w:val="0"/>
                <w:sz w:val="18"/>
                <w:szCs w:val="18"/>
              </w:rPr>
              <w:t xml:space="preserve"> imipenem and amikacin were discontinued, and intravenous and intrathecal colistin were begun</w:t>
            </w:r>
            <w:r>
              <w:rPr>
                <w:rFonts w:hint="default" w:ascii="Times New Roman" w:hAnsi="Times New Roman" w:eastAsia="宋体" w:cs="Times New Roman"/>
                <w:kern w:val="0"/>
                <w:sz w:val="18"/>
                <w:szCs w:val="18"/>
              </w:rPr>
              <w:t xml:space="preserve">. The intrathecal dose consisted of 20 mg colistin concentrated into a 3-ml solution administered once, and then 10 mg colistin was administered once a day thereafter. Cerebrospinal fluid cultures were negative on Day 3 of colistin therapy and remained sterile thereafter. The patient completed a </w:t>
            </w:r>
            <w:r>
              <w:rPr>
                <w:rFonts w:hint="default" w:ascii="Times New Roman" w:hAnsi="Times New Roman" w:eastAsia="宋体" w:cs="Times New Roman"/>
                <w:b/>
                <w:bCs/>
                <w:kern w:val="0"/>
                <w:sz w:val="18"/>
                <w:szCs w:val="18"/>
              </w:rPr>
              <w:t>10-day regimen of intrathecal colistin and continued to receive intravenous colistin until subsequent reinternalization of the ventriculoperitoneal</w:t>
            </w:r>
            <w:r>
              <w:rPr>
                <w:rFonts w:hint="default" w:ascii="Times New Roman" w:hAnsi="Times New Roman" w:eastAsia="宋体" w:cs="Times New Roman"/>
                <w:kern w:val="0"/>
                <w:sz w:val="18"/>
                <w:szCs w:val="18"/>
              </w:rPr>
              <w:t xml:space="preserve"> (VP)</w:t>
            </w:r>
          </w:p>
        </w:tc>
        <w:tc>
          <w:tcPr>
            <w:tcW w:w="1636" w:type="dxa"/>
            <w:vAlign w:val="center"/>
          </w:tcPr>
          <w:p w14:paraId="5692D2B1">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On postexternalization Day 6, imipenem and amikacin were discontinued, and intravenous and intrathecal colistin were begun.   The intrathecal dose consisted of 20 mg colistin concentrated into a 3-ml solution administered once, and then 10 mg colistin was administered once a day thereafter. Cerebrospinal fluid cultures were negative on Day 3 of colistin therapy and remained sterile thereafter. The patient completed a 10-day regimen of intrathecal colistin and continued to receive intravenous colistin until subsequent reinternalization of the ventriculoperitoneal (VP)</w:t>
            </w:r>
          </w:p>
        </w:tc>
        <w:tc>
          <w:tcPr>
            <w:tcW w:w="1483" w:type="dxa"/>
            <w:vAlign w:val="center"/>
          </w:tcPr>
          <w:p w14:paraId="59A9A199">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We report the first published case of carbapenem-resistant Pseudomonas ventriculitis successfully treated with intrathecal colistin and no appreciable adverse effect.</w:t>
            </w:r>
          </w:p>
        </w:tc>
      </w:tr>
      <w:tr w14:paraId="6A4B0F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0" w:hRule="atLeast"/>
          <w:jc w:val="center"/>
        </w:trPr>
        <w:tc>
          <w:tcPr>
            <w:tcW w:w="1209" w:type="dxa"/>
            <w:vAlign w:val="center"/>
          </w:tcPr>
          <w:p w14:paraId="08288F9C">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Corpus 2004</w:t>
            </w:r>
          </w:p>
        </w:tc>
        <w:tc>
          <w:tcPr>
            <w:tcW w:w="1464" w:type="dxa"/>
            <w:vAlign w:val="center"/>
          </w:tcPr>
          <w:p w14:paraId="1719F731">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Case report</w:t>
            </w:r>
          </w:p>
        </w:tc>
        <w:tc>
          <w:tcPr>
            <w:tcW w:w="603" w:type="dxa"/>
            <w:vAlign w:val="center"/>
          </w:tcPr>
          <w:p w14:paraId="5A2CCA06">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Arabic</w:t>
            </w:r>
          </w:p>
        </w:tc>
        <w:tc>
          <w:tcPr>
            <w:tcW w:w="854" w:type="dxa"/>
            <w:vAlign w:val="center"/>
          </w:tcPr>
          <w:p w14:paraId="034F1D01">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1</w:t>
            </w:r>
          </w:p>
        </w:tc>
        <w:tc>
          <w:tcPr>
            <w:tcW w:w="2212" w:type="dxa"/>
            <w:vAlign w:val="center"/>
          </w:tcPr>
          <w:p w14:paraId="0D185428">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To report a case of gram-negative bacillary meningitis (GNBM) secondary to multidrug-resistant Pseudomonas aeruginosa that was treated with intravenous meropenem and intrathecal and intravenous amikacin.</w:t>
            </w:r>
          </w:p>
        </w:tc>
        <w:tc>
          <w:tcPr>
            <w:tcW w:w="1423" w:type="dxa"/>
            <w:vAlign w:val="center"/>
          </w:tcPr>
          <w:p w14:paraId="79613D20">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76-year-old</w:t>
            </w:r>
          </w:p>
        </w:tc>
        <w:tc>
          <w:tcPr>
            <w:tcW w:w="1538" w:type="dxa"/>
            <w:vAlign w:val="center"/>
          </w:tcPr>
          <w:p w14:paraId="2272E71C">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P. aeruginosa, fully susceptible to amikacin and imipenem, intermediately susceptible to cefepime, and resistant to ciprofloxacin, gentamicin, and tobramycin</w:t>
            </w:r>
          </w:p>
        </w:tc>
        <w:tc>
          <w:tcPr>
            <w:tcW w:w="1518" w:type="dxa"/>
            <w:vAlign w:val="center"/>
          </w:tcPr>
          <w:p w14:paraId="2D18D67E">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Pseudomonal Meningitis</w:t>
            </w:r>
          </w:p>
        </w:tc>
        <w:tc>
          <w:tcPr>
            <w:tcW w:w="1632" w:type="dxa"/>
            <w:vAlign w:val="center"/>
          </w:tcPr>
          <w:p w14:paraId="2CE977E4">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Intravenous meropenem and amikacin, with theaddition of intrathecal amikacin,</w:t>
            </w:r>
            <w:r>
              <w:rPr>
                <w:rFonts w:hint="default" w:ascii="Times New Roman" w:hAnsi="Times New Roman" w:eastAsia="宋体" w:cs="Times New Roman"/>
                <w:kern w:val="0"/>
                <w:sz w:val="18"/>
                <w:szCs w:val="18"/>
              </w:rPr>
              <w:t xml:space="preserve"> until cerebrospinal cultures remained negative for 18 days.</w:t>
            </w:r>
            <w:r>
              <w:rPr>
                <w:rFonts w:hint="default" w:ascii="Times New Roman" w:hAnsi="Times New Roman" w:eastAsia="宋体" w:cs="Times New Roman"/>
                <w:kern w:val="0"/>
                <w:sz w:val="18"/>
                <w:szCs w:val="18"/>
              </w:rPr>
              <w:br w:type="textWrapping"/>
            </w:r>
            <w:r>
              <w:rPr>
                <w:rFonts w:hint="default" w:ascii="Times New Roman" w:hAnsi="Times New Roman" w:eastAsia="宋体" w:cs="Times New Roman"/>
                <w:kern w:val="0"/>
                <w:sz w:val="18"/>
                <w:szCs w:val="18"/>
              </w:rPr>
              <w:t>具体如下：</w:t>
            </w:r>
            <w:r>
              <w:rPr>
                <w:rFonts w:hint="default" w:ascii="Times New Roman" w:hAnsi="Times New Roman" w:eastAsia="宋体" w:cs="Times New Roman"/>
                <w:kern w:val="0"/>
                <w:sz w:val="18"/>
                <w:szCs w:val="18"/>
              </w:rPr>
              <w:br w:type="textWrapping"/>
            </w:r>
            <w:r>
              <w:rPr>
                <w:rFonts w:hint="default" w:ascii="Times New Roman" w:hAnsi="Times New Roman" w:eastAsia="宋体" w:cs="Times New Roman"/>
                <w:kern w:val="0"/>
                <w:sz w:val="18"/>
                <w:szCs w:val="18"/>
              </w:rPr>
              <w:t>The patient was empirically started on intravenous therapy with ciprofloxacin 400 mg every 12 hours, cefepime 1 g every 12 hours, and vancomycin 1 g every 12 hours.</w:t>
            </w:r>
            <w:r>
              <w:rPr>
                <w:rFonts w:hint="default" w:ascii="Times New Roman" w:hAnsi="Times New Roman" w:eastAsia="宋体" w:cs="Times New Roman"/>
                <w:kern w:val="0"/>
                <w:sz w:val="18"/>
                <w:szCs w:val="18"/>
              </w:rPr>
              <w:br w:type="textWrapping"/>
            </w:r>
            <w:r>
              <w:rPr>
                <w:rFonts w:hint="default" w:ascii="Times New Roman" w:hAnsi="Times New Roman" w:eastAsia="宋体" w:cs="Times New Roman"/>
                <w:kern w:val="0"/>
                <w:sz w:val="18"/>
                <w:szCs w:val="18"/>
              </w:rPr>
              <w:t>Vancomycin, ciprofloxacin, and cefepime were discontinued; the intravenous antibiotic regimen was changed to amikacin 525 mg every 24 hours and meropenem 2 g every 8 hours on day 3. On day 5, start the patient on intrathecal amikacin 20 mg, which was calculated by using an estimate of  cerebrospinal fluid (CSF) of 110–160 mL and a dose of 0.1 mg/mL of CSF. A total volume of 3 mL was prepared by diluting 0.4 mL of the 50-mg/mL concentration of amikacin with preservative-free NaCl 0.9%</w:t>
            </w:r>
          </w:p>
        </w:tc>
        <w:tc>
          <w:tcPr>
            <w:tcW w:w="1636" w:type="dxa"/>
            <w:vAlign w:val="center"/>
          </w:tcPr>
          <w:p w14:paraId="13A930AF">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IV meropenem and amikacin, with theaddition of intrathecal amikacin, until cerebrospinal cultures remained negative for 18 days.</w:t>
            </w:r>
            <w:r>
              <w:rPr>
                <w:rFonts w:hint="default" w:ascii="Times New Roman" w:hAnsi="Times New Roman" w:eastAsia="宋体" w:cs="Times New Roman"/>
                <w:kern w:val="0"/>
                <w:sz w:val="18"/>
                <w:szCs w:val="18"/>
              </w:rPr>
              <w:br w:type="textWrapping"/>
            </w:r>
            <w:r>
              <w:rPr>
                <w:rFonts w:hint="default" w:ascii="Times New Roman" w:hAnsi="Times New Roman" w:eastAsia="宋体" w:cs="Times New Roman"/>
                <w:kern w:val="0"/>
                <w:sz w:val="18"/>
                <w:szCs w:val="18"/>
              </w:rPr>
              <w:t>IV ciprofloxacin 400 mg every 12 hours, cefepime 1 g every 12 hours, and vancomycin 1 g every 12 hours.</w:t>
            </w:r>
            <w:r>
              <w:rPr>
                <w:rFonts w:hint="default" w:ascii="Times New Roman" w:hAnsi="Times New Roman" w:eastAsia="宋体" w:cs="Times New Roman"/>
                <w:kern w:val="0"/>
                <w:sz w:val="18"/>
                <w:szCs w:val="18"/>
              </w:rPr>
              <w:br w:type="textWrapping"/>
            </w:r>
            <w:r>
              <w:rPr>
                <w:rFonts w:hint="default" w:ascii="Times New Roman" w:hAnsi="Times New Roman" w:eastAsia="宋体" w:cs="Times New Roman"/>
                <w:kern w:val="0"/>
                <w:sz w:val="18"/>
                <w:szCs w:val="18"/>
              </w:rPr>
              <w:t>Vancomycin, ciprofloxacin, and cefepime were discontinued;  the intravenous antibiotic regimen was changed to amikacin 525 mg every 24 hours and meropenem 2 g every 8 hours on day 3.  On day 5, start the patient on intrathecal amikacin 20 mg, which was calculated by using an estimate of  cerebrospinal fluid (CSF) of 110–160 mL and a dose of 0.1 mg/mL of CSF.  A total volume of 3 mL was prepared by diluting 0.4 mL of the 50-mg/mL concentration of amikacin with preservative-free NaCl 0.9%</w:t>
            </w:r>
          </w:p>
        </w:tc>
        <w:tc>
          <w:tcPr>
            <w:tcW w:w="1483" w:type="dxa"/>
            <w:vAlign w:val="center"/>
          </w:tcPr>
          <w:p w14:paraId="5CBD6EA8">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In patients who have  gram-negative bacillary meningitis (GNBM) due to P. aeruginosa, the combination of intrathecal and intravenous amikacin may be an option for therapy, especially when clinical options are limited by resistance, severity of illness, and location of the infection. More information is required and further study is needed on this topic.</w:t>
            </w:r>
          </w:p>
        </w:tc>
      </w:tr>
      <w:tr w14:paraId="4A8C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0" w:hRule="atLeast"/>
          <w:jc w:val="center"/>
        </w:trPr>
        <w:tc>
          <w:tcPr>
            <w:tcW w:w="1209" w:type="dxa"/>
            <w:vAlign w:val="center"/>
          </w:tcPr>
          <w:p w14:paraId="5C8B6963">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Salick 2019</w:t>
            </w:r>
          </w:p>
        </w:tc>
        <w:tc>
          <w:tcPr>
            <w:tcW w:w="1464" w:type="dxa"/>
            <w:vAlign w:val="center"/>
          </w:tcPr>
          <w:p w14:paraId="6B56D480">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Case report</w:t>
            </w:r>
          </w:p>
        </w:tc>
        <w:tc>
          <w:tcPr>
            <w:tcW w:w="603" w:type="dxa"/>
            <w:vAlign w:val="center"/>
          </w:tcPr>
          <w:p w14:paraId="7D233506">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USA</w:t>
            </w:r>
          </w:p>
        </w:tc>
        <w:tc>
          <w:tcPr>
            <w:tcW w:w="854" w:type="dxa"/>
            <w:vAlign w:val="center"/>
          </w:tcPr>
          <w:p w14:paraId="4AB61134">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1</w:t>
            </w:r>
          </w:p>
        </w:tc>
        <w:tc>
          <w:tcPr>
            <w:tcW w:w="2212" w:type="dxa"/>
            <w:vAlign w:val="center"/>
          </w:tcPr>
          <w:p w14:paraId="45BED2A1">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Pseudomonas aeruginosa is a rare cause of community acquired meningitis. Multidrug Resistant (MDR) strains have been reported in patients with nosocomial exposure &amp; in patients with neurosurgical interventions. We present a fatal case of community acquired MDR pseudomonas meningitis.</w:t>
            </w:r>
          </w:p>
        </w:tc>
        <w:tc>
          <w:tcPr>
            <w:tcW w:w="1423" w:type="dxa"/>
            <w:vAlign w:val="center"/>
          </w:tcPr>
          <w:p w14:paraId="44A3430E">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57-year-old</w:t>
            </w:r>
          </w:p>
        </w:tc>
        <w:tc>
          <w:tcPr>
            <w:tcW w:w="1538" w:type="dxa"/>
            <w:vAlign w:val="center"/>
          </w:tcPr>
          <w:p w14:paraId="46503E63">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P. aeruginosa resistant to Aztreonam, Cefepime, Ceftazidime, Piperacillin/Tazobactam &amp; Meropenem but susceptible to Ceftazidime/avibactam, Amikacin, Ciprofloxacin &amp; Tobramycin.</w:t>
            </w:r>
          </w:p>
        </w:tc>
        <w:tc>
          <w:tcPr>
            <w:tcW w:w="1518" w:type="dxa"/>
            <w:vAlign w:val="center"/>
          </w:tcPr>
          <w:p w14:paraId="0F762EB0">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Type 2 Diabetes, Meningitis</w:t>
            </w:r>
          </w:p>
        </w:tc>
        <w:tc>
          <w:tcPr>
            <w:tcW w:w="1632" w:type="dxa"/>
            <w:vAlign w:val="center"/>
          </w:tcPr>
          <w:p w14:paraId="43E9DDCB">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The patient was empirically treated for bacterial meningitis with Ceftriaxone, Ampicillin, Vancomycin &amp; Acyclovir. Cerebrospinal fluid (CSF) Gram stain had Gram Negative rods &amp; patient was switched to Meropenem. The patient was switched to</w:t>
            </w:r>
            <w:r>
              <w:rPr>
                <w:rFonts w:hint="default" w:ascii="Times New Roman" w:hAnsi="Times New Roman" w:eastAsia="宋体" w:cs="Times New Roman"/>
                <w:b/>
                <w:bCs/>
                <w:kern w:val="0"/>
                <w:sz w:val="18"/>
                <w:szCs w:val="18"/>
              </w:rPr>
              <w:t xml:space="preserve"> IV Ceftazidime/avibactam.  Intrathecal tobramycin</w:t>
            </w:r>
            <w:r>
              <w:rPr>
                <w:rFonts w:hint="default" w:ascii="Times New Roman" w:hAnsi="Times New Roman" w:eastAsia="宋体" w:cs="Times New Roman"/>
                <w:kern w:val="0"/>
                <w:sz w:val="18"/>
                <w:szCs w:val="18"/>
              </w:rPr>
              <w:t xml:space="preserve"> was added to his regimen.</w:t>
            </w:r>
          </w:p>
        </w:tc>
        <w:tc>
          <w:tcPr>
            <w:tcW w:w="1636" w:type="dxa"/>
            <w:vAlign w:val="center"/>
          </w:tcPr>
          <w:p w14:paraId="7DEE9600">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Empirically treated for bacterial meningitis with Ceftriaxone, Ampicillin, Vancomycin &amp; Acyclovir.  Cerebrospinal fluid (CSF) Gram stain had Gram Negative rods &amp; patient was switched to Meropenem.  The patient was switched to IV Ceftazidime/avibactam.   Intrathecal tobramycin was added to his regimen.</w:t>
            </w:r>
          </w:p>
        </w:tc>
        <w:tc>
          <w:tcPr>
            <w:tcW w:w="1483" w:type="dxa"/>
            <w:vAlign w:val="center"/>
          </w:tcPr>
          <w:p w14:paraId="44FD755C">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 xml:space="preserve">Results: Multidrug Resistant (MDR) is defined as acquired non‐susceptibility to at least one agent in three or more antimicrobial categories. MDR P. aeruginosa is responsible for 10% of hospital acquired infections, its associated with increased mortality &amp; morbidity. Treatment of MDR P. aeruginosa meningitis is challenging due to the poor penetration of the few effective antibiotics to the CSF space, </w:t>
            </w:r>
            <w:r>
              <w:rPr>
                <w:rFonts w:hint="default" w:ascii="Times New Roman" w:hAnsi="Times New Roman" w:eastAsia="宋体" w:cs="Times New Roman"/>
                <w:b/>
                <w:bCs/>
                <w:kern w:val="0"/>
                <w:sz w:val="18"/>
                <w:szCs w:val="18"/>
              </w:rPr>
              <w:t>necessitating use of intrathecal agents like Colistin &amp; Tobramycin</w:t>
            </w:r>
            <w:r>
              <w:rPr>
                <w:rFonts w:hint="default" w:ascii="Times New Roman" w:hAnsi="Times New Roman" w:eastAsia="宋体" w:cs="Times New Roman"/>
                <w:kern w:val="0"/>
                <w:sz w:val="18"/>
                <w:szCs w:val="18"/>
              </w:rPr>
              <w:t>. To our knowledge this is the first case described in literature of a community acquired MDR P. aeruginosa meningitis.</w:t>
            </w:r>
          </w:p>
        </w:tc>
      </w:tr>
      <w:tr w14:paraId="747DBB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0" w:hRule="atLeast"/>
          <w:jc w:val="center"/>
        </w:trPr>
        <w:tc>
          <w:tcPr>
            <w:tcW w:w="1209" w:type="dxa"/>
            <w:vAlign w:val="center"/>
          </w:tcPr>
          <w:p w14:paraId="7F631879">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Molinaro 2018</w:t>
            </w:r>
          </w:p>
        </w:tc>
        <w:tc>
          <w:tcPr>
            <w:tcW w:w="1464" w:type="dxa"/>
            <w:vAlign w:val="center"/>
          </w:tcPr>
          <w:p w14:paraId="17AEC495">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Case report</w:t>
            </w:r>
          </w:p>
        </w:tc>
        <w:tc>
          <w:tcPr>
            <w:tcW w:w="603" w:type="dxa"/>
            <w:vAlign w:val="center"/>
          </w:tcPr>
          <w:p w14:paraId="26B84DE4">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Italy</w:t>
            </w:r>
          </w:p>
        </w:tc>
        <w:tc>
          <w:tcPr>
            <w:tcW w:w="854" w:type="dxa"/>
            <w:vAlign w:val="center"/>
          </w:tcPr>
          <w:p w14:paraId="0790DB6E">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1</w:t>
            </w:r>
          </w:p>
        </w:tc>
        <w:tc>
          <w:tcPr>
            <w:tcW w:w="2212" w:type="dxa"/>
            <w:vAlign w:val="center"/>
          </w:tcPr>
          <w:p w14:paraId="5B3EB5E5">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 xml:space="preserve">We describe a case of pan-resistant Pseudomonas aeruginosa postsurgical meningitis associated with the presence of an external ventricular device. We changed therapy </w:t>
            </w:r>
            <w:r>
              <w:rPr>
                <w:rFonts w:hint="default" w:ascii="Times New Roman" w:hAnsi="Times New Roman" w:eastAsia="宋体" w:cs="Times New Roman"/>
                <w:kern w:val="0"/>
                <w:sz w:val="18"/>
                <w:szCs w:val="18"/>
              </w:rPr>
              <w:br w:type="textWrapping"/>
            </w:r>
            <w:r>
              <w:rPr>
                <w:rFonts w:hint="default" w:ascii="Times New Roman" w:hAnsi="Times New Roman" w:eastAsia="宋体" w:cs="Times New Roman"/>
                <w:kern w:val="0"/>
                <w:sz w:val="18"/>
                <w:szCs w:val="18"/>
              </w:rPr>
              <w:t>twice; finally, by using amikacin and a continuous infusion of cefepime, we obtained clinical improvement.</w:t>
            </w:r>
          </w:p>
        </w:tc>
        <w:tc>
          <w:tcPr>
            <w:tcW w:w="1423" w:type="dxa"/>
            <w:vAlign w:val="center"/>
          </w:tcPr>
          <w:p w14:paraId="0FD4EF1B">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66-year-old</w:t>
            </w:r>
          </w:p>
        </w:tc>
        <w:tc>
          <w:tcPr>
            <w:tcW w:w="1538" w:type="dxa"/>
            <w:vAlign w:val="center"/>
          </w:tcPr>
          <w:p w14:paraId="76E59B46">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Multidrug-resistant Pseudomonas aeruginosa</w:t>
            </w:r>
          </w:p>
        </w:tc>
        <w:tc>
          <w:tcPr>
            <w:tcW w:w="1518" w:type="dxa"/>
            <w:vAlign w:val="center"/>
          </w:tcPr>
          <w:p w14:paraId="6182BCAC">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Meningitis</w:t>
            </w:r>
          </w:p>
        </w:tc>
        <w:tc>
          <w:tcPr>
            <w:tcW w:w="1632" w:type="dxa"/>
            <w:vAlign w:val="center"/>
          </w:tcPr>
          <w:p w14:paraId="6F8CF038">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 xml:space="preserve">Empiric therapy with  </w:t>
            </w:r>
            <w:r>
              <w:rPr>
                <w:rFonts w:hint="default" w:ascii="Times New Roman" w:hAnsi="Times New Roman" w:eastAsia="宋体" w:cs="Times New Roman"/>
                <w:b/>
                <w:bCs/>
                <w:kern w:val="0"/>
                <w:sz w:val="18"/>
                <w:szCs w:val="18"/>
              </w:rPr>
              <w:t>intravenous (IV) cefepime (6 g/day by continuous infusion after 2 g loading dose), IV colistin (4.5 million units every 12 hours after 9 million units loading dose), and IVT colistin (10 mg) was started</w:t>
            </w:r>
            <w:r>
              <w:rPr>
                <w:rFonts w:hint="default" w:ascii="Times New Roman" w:hAnsi="Times New Roman" w:eastAsia="宋体" w:cs="Times New Roman"/>
                <w:kern w:val="0"/>
                <w:sz w:val="18"/>
                <w:szCs w:val="18"/>
              </w:rPr>
              <w:t xml:space="preserve">. Empiric therapy was optimized by using IV colistin, meropenem (2 g every 8 hours extended infusion), and  </w:t>
            </w:r>
            <w:r>
              <w:rPr>
                <w:rFonts w:hint="default" w:ascii="Times New Roman" w:hAnsi="Times New Roman" w:eastAsia="宋体" w:cs="Times New Roman"/>
                <w:b/>
                <w:bCs/>
                <w:kern w:val="0"/>
                <w:sz w:val="18"/>
                <w:szCs w:val="18"/>
              </w:rPr>
              <w:t xml:space="preserve">intraventricular (IVT) </w:t>
            </w:r>
            <w:r>
              <w:rPr>
                <w:rFonts w:hint="default" w:ascii="Times New Roman" w:hAnsi="Times New Roman" w:eastAsia="宋体" w:cs="Times New Roman"/>
                <w:kern w:val="0"/>
                <w:sz w:val="18"/>
                <w:szCs w:val="18"/>
              </w:rPr>
              <w:t>colistin. Antimicrobial therapy as follows: IVT amikacin 30 mg/day and IV cefepime continuous infusion plus IV amikacin 1 g/day.</w:t>
            </w:r>
          </w:p>
        </w:tc>
        <w:tc>
          <w:tcPr>
            <w:tcW w:w="1636" w:type="dxa"/>
            <w:vAlign w:val="center"/>
          </w:tcPr>
          <w:p w14:paraId="0CE8771A">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color w:val="000000"/>
                <w:kern w:val="0"/>
                <w:sz w:val="18"/>
                <w:szCs w:val="18"/>
              </w:rPr>
            </w:pPr>
            <w:r>
              <w:rPr>
                <w:rFonts w:hint="default" w:ascii="Times New Roman" w:hAnsi="Times New Roman" w:eastAsia="宋体" w:cs="Times New Roman"/>
                <w:color w:val="000000"/>
                <w:kern w:val="0"/>
                <w:sz w:val="18"/>
                <w:szCs w:val="18"/>
              </w:rPr>
              <w:t>Empiric therapy with  intravenous (IV) cefepime (6 g/day by continuous infusion after 2 g loading dose), IV colistin (4.5 million units every 12 hours after 9 million units loading dose), and IVT colistin (10 mg) was started.  Empiric therapy was optimized by using IV colistin, meropenem (2 g every 8 hours extended infusion), and  intraventricular (IVT) colistin.  Antimicrobial therapy as follows: IVT amikacin 30 mg/day and IV cefepime continuous infusion plus IV amikacin 1 g/d</w:t>
            </w:r>
          </w:p>
        </w:tc>
        <w:tc>
          <w:tcPr>
            <w:tcW w:w="1483" w:type="dxa"/>
            <w:vAlign w:val="center"/>
          </w:tcPr>
          <w:p w14:paraId="4D2DE381">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We successfully used intrathecal amikacin and  intravenous cefepime continuous infusion plus intravenous amikacin after two previous ineffective therapeutic approaches.</w:t>
            </w:r>
            <w:r>
              <w:rPr>
                <w:rFonts w:hint="default" w:ascii="Times New Roman" w:hAnsi="Times New Roman" w:eastAsia="宋体" w:cs="Times New Roman"/>
                <w:kern w:val="0"/>
                <w:sz w:val="18"/>
                <w:szCs w:val="18"/>
              </w:rPr>
              <w:br w:type="textWrapping"/>
            </w:r>
            <w:r>
              <w:rPr>
                <w:rFonts w:hint="default" w:ascii="Times New Roman" w:hAnsi="Times New Roman" w:eastAsia="宋体" w:cs="Times New Roman"/>
                <w:kern w:val="0"/>
                <w:sz w:val="18"/>
                <w:szCs w:val="18"/>
              </w:rPr>
              <w:t>The evaluation of the antibiotic concentration and the bactericidal activity in cerebrospinal fluid may contribute to the choice of the drug in cases of multidrug-resistant meningitis.</w:t>
            </w:r>
          </w:p>
        </w:tc>
      </w:tr>
      <w:tr w14:paraId="2EC83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0" w:hRule="atLeast"/>
          <w:jc w:val="center"/>
        </w:trPr>
        <w:tc>
          <w:tcPr>
            <w:tcW w:w="1209" w:type="dxa"/>
            <w:vAlign w:val="center"/>
          </w:tcPr>
          <w:p w14:paraId="168F366E">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Almangour 2013</w:t>
            </w:r>
          </w:p>
        </w:tc>
        <w:tc>
          <w:tcPr>
            <w:tcW w:w="1464" w:type="dxa"/>
            <w:vAlign w:val="center"/>
          </w:tcPr>
          <w:p w14:paraId="0F27E977">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Case report</w:t>
            </w:r>
          </w:p>
        </w:tc>
        <w:tc>
          <w:tcPr>
            <w:tcW w:w="603" w:type="dxa"/>
            <w:vAlign w:val="center"/>
          </w:tcPr>
          <w:p w14:paraId="093422FF">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Saudi Arabia</w:t>
            </w:r>
          </w:p>
        </w:tc>
        <w:tc>
          <w:tcPr>
            <w:tcW w:w="854" w:type="dxa"/>
            <w:vAlign w:val="center"/>
          </w:tcPr>
          <w:p w14:paraId="302F3CEC">
            <w:pPr>
              <w:keepNext/>
              <w:widowControl/>
              <w:snapToGrid w:val="0"/>
              <w:spacing w:before="0" w:beforeLines="0" w:after="0" w:afterLines="0"/>
              <w:ind w:left="0" w:leftChars="0" w:right="0" w:rightChars="0" w:firstLine="0" w:firstLineChars="0"/>
              <w:jc w:val="center"/>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1</w:t>
            </w:r>
          </w:p>
        </w:tc>
        <w:tc>
          <w:tcPr>
            <w:tcW w:w="2212" w:type="dxa"/>
            <w:vAlign w:val="center"/>
          </w:tcPr>
          <w:p w14:paraId="1F40EAA0">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We describe our experience with the use of ceftazidime-avibactam in addition to intraventricular colistin in a pediatric patient diagnosed with ventriculoperitoneal shunt infection due to multidrug-resistant P. aeruginosa.</w:t>
            </w:r>
          </w:p>
        </w:tc>
        <w:tc>
          <w:tcPr>
            <w:tcW w:w="1423" w:type="dxa"/>
            <w:vAlign w:val="center"/>
          </w:tcPr>
          <w:p w14:paraId="1875BB24">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2-year-old</w:t>
            </w:r>
          </w:p>
        </w:tc>
        <w:tc>
          <w:tcPr>
            <w:tcW w:w="1538" w:type="dxa"/>
            <w:vAlign w:val="center"/>
          </w:tcPr>
          <w:p w14:paraId="779924B3">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Multidrug-resistant Pseudomonas aeruginosa</w:t>
            </w:r>
          </w:p>
        </w:tc>
        <w:tc>
          <w:tcPr>
            <w:tcW w:w="1518" w:type="dxa"/>
            <w:vAlign w:val="center"/>
          </w:tcPr>
          <w:p w14:paraId="4921D1F3">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Central Nervous System Infection</w:t>
            </w:r>
          </w:p>
        </w:tc>
        <w:tc>
          <w:tcPr>
            <w:tcW w:w="1632" w:type="dxa"/>
            <w:vAlign w:val="center"/>
          </w:tcPr>
          <w:p w14:paraId="318038E9">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b/>
                <w:bCs/>
                <w:kern w:val="0"/>
                <w:sz w:val="18"/>
                <w:szCs w:val="18"/>
              </w:rPr>
            </w:pPr>
            <w:r>
              <w:rPr>
                <w:rFonts w:hint="default" w:ascii="Times New Roman" w:hAnsi="Times New Roman" w:eastAsia="宋体" w:cs="Times New Roman"/>
                <w:b/>
                <w:bCs/>
                <w:kern w:val="0"/>
                <w:sz w:val="18"/>
                <w:szCs w:val="18"/>
              </w:rPr>
              <w:t xml:space="preserve">Ceftazidime-avibactam in addition to intraventricular colistin </w:t>
            </w:r>
            <w:r>
              <w:rPr>
                <w:rFonts w:hint="default" w:ascii="Times New Roman" w:hAnsi="Times New Roman" w:eastAsia="宋体" w:cs="Times New Roman"/>
                <w:kern w:val="0"/>
                <w:sz w:val="18"/>
                <w:szCs w:val="18"/>
              </w:rPr>
              <w:br w:type="textWrapping"/>
            </w:r>
            <w:r>
              <w:rPr>
                <w:rFonts w:hint="default" w:ascii="Times New Roman" w:hAnsi="Times New Roman" w:eastAsia="宋体" w:cs="Times New Roman"/>
                <w:kern w:val="0"/>
                <w:sz w:val="18"/>
                <w:szCs w:val="18"/>
              </w:rPr>
              <w:t>He was initially started on intravenous (IV) vancomycin.  Changed to IV ceftazidime as wound culture revealed growth of pan-susceptible P. aeruginosa. Day 12  Antibiotics were upgraded to meropenem, The patient was treated with multiple antipseudomonal agents for which the isolate was reported as susceptible including meropenem (day 12 to 54), IV amikacin (day 18 to 37) ciprofloxacin (day 31 to 54), intraventricular gentamicin (day 37 to 50) and IV colistin (day 37  to 54) for the causative infection. The patient was switched to ceftazidime-avibactam 450mg IV every 8 hours (62.5mg/kg/dose every 8 hours), and intraventricular colistin 125,000 IU every 24 hours (tapering dose: 30,000 IU on day 1, followed by 60,000 IU once daily for 2 days, then 125,000 IU every 24 hours—and to monitor cerebrospinal fluid (CSF) white blood cells for any sign of chemical ventriculitis).</w:t>
            </w:r>
          </w:p>
        </w:tc>
        <w:tc>
          <w:tcPr>
            <w:tcW w:w="1636" w:type="dxa"/>
            <w:vAlign w:val="center"/>
          </w:tcPr>
          <w:p w14:paraId="1F14101F">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Intravenous (IV) vancomycin.  Changed to IV ceftazidime as wound culture revealed growth of pan-susceptible P. aeruginosa.    Day 12  Antibiotics were upgraded to meropenem, The patient was treated with multiple antipseudomonal agents for which the isolate was reported as susceptible including meropenem (day 12 to 54), IV amikacin (day 18 to 37) ciprofloxacin (day 31 to 54), intraventricular gentamicin (day 37 to 50) and IV colistin (day 37 to 54) for the causative infection. The patient was switched to ceftazidime-avibactam 450mg IV every 8 hours (62.5mg/kg/dose every 8 hours), and intraventricular colistin 125,000 IU every 24 hours (tapering dose: 30,000 IU on day 1, followed by 60,000 IU once daily for 2 days, then 125,000 IU every 24 hours—and to monitor cerebrospinal fluid (CSF) white blood cells for any sign of chemical ventriculitis).</w:t>
            </w:r>
          </w:p>
        </w:tc>
        <w:tc>
          <w:tcPr>
            <w:tcW w:w="1483" w:type="dxa"/>
            <w:vAlign w:val="center"/>
          </w:tcPr>
          <w:p w14:paraId="5FBB480E">
            <w:pPr>
              <w:keepNext/>
              <w:widowControl/>
              <w:snapToGrid w:val="0"/>
              <w:spacing w:before="0" w:beforeLines="0" w:after="0" w:afterLines="0"/>
              <w:ind w:left="0" w:leftChars="0" w:right="0" w:rightChars="0" w:firstLine="0" w:firstLineChars="0"/>
              <w:jc w:val="left"/>
              <w:outlineLvl w:val="9"/>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 xml:space="preserve">Infections caused by MDR P. aeruginosa are increasingly recognized in hospitalized patients and become more challenging to treat in the setting of CNS infection, as antibiotic penetration to the CSF is often poor or unknown. </w:t>
            </w:r>
            <w:r>
              <w:rPr>
                <w:rFonts w:hint="default" w:ascii="Times New Roman" w:hAnsi="Times New Roman" w:eastAsia="宋体" w:cs="Times New Roman"/>
                <w:b/>
                <w:bCs/>
                <w:kern w:val="0"/>
                <w:sz w:val="18"/>
                <w:szCs w:val="18"/>
              </w:rPr>
              <w:t xml:space="preserve">We present the successful use of ceftazidime-avibactam plus intraventricular colistin for the treatment of MDR P. aeruginosa CNS infection in a pediatric patient. </w:t>
            </w:r>
            <w:r>
              <w:rPr>
                <w:rFonts w:hint="default" w:ascii="Times New Roman" w:hAnsi="Times New Roman" w:eastAsia="宋体" w:cs="Times New Roman"/>
                <w:kern w:val="0"/>
                <w:sz w:val="18"/>
                <w:szCs w:val="18"/>
              </w:rPr>
              <w:t>Additional clinical and pharmacokinetic data are needed to investigate the use of ceftazidime-avibactam for this indication.</w:t>
            </w:r>
          </w:p>
        </w:tc>
      </w:tr>
    </w:tbl>
    <w:p w14:paraId="4E7A941A">
      <w:pPr>
        <w:pStyle w:val="39"/>
        <w:rPr>
          <w:rFonts w:hint="eastAsia"/>
        </w:rPr>
      </w:pPr>
      <w:r>
        <w:rPr>
          <w:rFonts w:hint="eastAsia"/>
        </w:rPr>
        <w:t>附表6.临床问题10纳入文献基线特征表</w:t>
      </w:r>
    </w:p>
    <w:tbl>
      <w:tblPr>
        <w:tblStyle w:val="15"/>
        <w:tblW w:w="5000" w:type="pct"/>
        <w:tblInd w:w="0" w:type="dxa"/>
        <w:tblLayout w:type="fixed"/>
        <w:tblCellMar>
          <w:top w:w="0" w:type="dxa"/>
          <w:left w:w="108" w:type="dxa"/>
          <w:bottom w:w="0" w:type="dxa"/>
          <w:right w:w="108" w:type="dxa"/>
        </w:tblCellMar>
      </w:tblPr>
      <w:tblGrid>
        <w:gridCol w:w="721"/>
        <w:gridCol w:w="868"/>
        <w:gridCol w:w="864"/>
        <w:gridCol w:w="1006"/>
        <w:gridCol w:w="1151"/>
        <w:gridCol w:w="1874"/>
        <w:gridCol w:w="1871"/>
        <w:gridCol w:w="1440"/>
        <w:gridCol w:w="1871"/>
        <w:gridCol w:w="1296"/>
        <w:gridCol w:w="1213"/>
      </w:tblGrid>
      <w:tr w14:paraId="6AC0379C">
        <w:tblPrEx>
          <w:tblCellMar>
            <w:top w:w="0" w:type="dxa"/>
            <w:left w:w="108" w:type="dxa"/>
            <w:bottom w:w="0" w:type="dxa"/>
            <w:right w:w="108" w:type="dxa"/>
          </w:tblCellMar>
        </w:tblPrEx>
        <w:trPr>
          <w:trHeight w:val="39" w:hRule="atLeast"/>
        </w:trPr>
        <w:tc>
          <w:tcPr>
            <w:tcW w:w="254" w:type="pct"/>
            <w:tcBorders>
              <w:top w:val="single" w:color="auto" w:sz="12" w:space="0"/>
              <w:left w:val="nil"/>
              <w:bottom w:val="single" w:color="auto" w:sz="12" w:space="0"/>
              <w:right w:val="nil"/>
            </w:tcBorders>
            <w:shd w:val="clear" w:color="000000" w:fill="FFFFFF"/>
            <w:noWrap/>
            <w:vAlign w:val="center"/>
          </w:tcPr>
          <w:p w14:paraId="4F90974A">
            <w:r>
              <w:t>Study ID</w:t>
            </w:r>
          </w:p>
        </w:tc>
        <w:tc>
          <w:tcPr>
            <w:tcW w:w="306" w:type="pct"/>
            <w:tcBorders>
              <w:top w:val="single" w:color="auto" w:sz="12" w:space="0"/>
              <w:left w:val="nil"/>
              <w:bottom w:val="single" w:color="auto" w:sz="12" w:space="0"/>
              <w:right w:val="nil"/>
            </w:tcBorders>
            <w:shd w:val="clear" w:color="000000" w:fill="FFFFFF"/>
            <w:noWrap/>
            <w:vAlign w:val="center"/>
          </w:tcPr>
          <w:p w14:paraId="7908D6A9">
            <w:r>
              <w:t>Study design</w:t>
            </w:r>
          </w:p>
        </w:tc>
        <w:tc>
          <w:tcPr>
            <w:tcW w:w="305" w:type="pct"/>
            <w:tcBorders>
              <w:top w:val="single" w:color="auto" w:sz="12" w:space="0"/>
              <w:left w:val="nil"/>
              <w:bottom w:val="single" w:color="auto" w:sz="12" w:space="0"/>
              <w:right w:val="nil"/>
            </w:tcBorders>
            <w:shd w:val="clear" w:color="000000" w:fill="FFFFFF"/>
            <w:noWrap/>
            <w:vAlign w:val="center"/>
          </w:tcPr>
          <w:p w14:paraId="631FF6FF">
            <w:r>
              <w:t>Country</w:t>
            </w:r>
          </w:p>
        </w:tc>
        <w:tc>
          <w:tcPr>
            <w:tcW w:w="355" w:type="pct"/>
            <w:tcBorders>
              <w:top w:val="single" w:color="auto" w:sz="12" w:space="0"/>
              <w:left w:val="nil"/>
              <w:bottom w:val="single" w:color="auto" w:sz="12" w:space="0"/>
              <w:right w:val="nil"/>
            </w:tcBorders>
            <w:shd w:val="clear" w:color="000000" w:fill="FFFFFF"/>
            <w:noWrap/>
            <w:vAlign w:val="center"/>
          </w:tcPr>
          <w:p w14:paraId="5C537A2A">
            <w:r>
              <w:t>Sample size</w:t>
            </w:r>
          </w:p>
        </w:tc>
        <w:tc>
          <w:tcPr>
            <w:tcW w:w="406" w:type="pct"/>
            <w:tcBorders>
              <w:top w:val="single" w:color="auto" w:sz="12" w:space="0"/>
              <w:left w:val="nil"/>
              <w:bottom w:val="single" w:color="auto" w:sz="12" w:space="0"/>
              <w:right w:val="nil"/>
            </w:tcBorders>
            <w:shd w:val="clear" w:color="000000" w:fill="FFFFFF"/>
            <w:noWrap/>
            <w:vAlign w:val="center"/>
          </w:tcPr>
          <w:p w14:paraId="09827BD2">
            <w:r>
              <w:t>Age</w:t>
            </w:r>
            <w:r>
              <w:rPr>
                <w:vertAlign w:val="superscript"/>
              </w:rPr>
              <w:t>1</w:t>
            </w:r>
            <w:r>
              <w:t>/years</w:t>
            </w:r>
          </w:p>
        </w:tc>
        <w:tc>
          <w:tcPr>
            <w:tcW w:w="661" w:type="pct"/>
            <w:tcBorders>
              <w:top w:val="single" w:color="auto" w:sz="12" w:space="0"/>
              <w:left w:val="nil"/>
              <w:bottom w:val="single" w:color="auto" w:sz="12" w:space="0"/>
              <w:right w:val="nil"/>
            </w:tcBorders>
            <w:shd w:val="clear" w:color="000000" w:fill="FFFFFF"/>
            <w:noWrap/>
            <w:vAlign w:val="center"/>
          </w:tcPr>
          <w:p w14:paraId="6DD4E39B">
            <w:r>
              <w:t>Pathogenic bacteria</w:t>
            </w:r>
          </w:p>
        </w:tc>
        <w:tc>
          <w:tcPr>
            <w:tcW w:w="660" w:type="pct"/>
            <w:tcBorders>
              <w:top w:val="single" w:color="auto" w:sz="12" w:space="0"/>
              <w:left w:val="nil"/>
              <w:bottom w:val="single" w:color="auto" w:sz="12" w:space="0"/>
              <w:right w:val="nil"/>
            </w:tcBorders>
            <w:shd w:val="clear" w:color="000000" w:fill="FFFFFF"/>
            <w:noWrap/>
            <w:vAlign w:val="center"/>
          </w:tcPr>
          <w:p w14:paraId="1B2C939E">
            <w:r>
              <w:t>Disease</w:t>
            </w:r>
          </w:p>
        </w:tc>
        <w:tc>
          <w:tcPr>
            <w:tcW w:w="508" w:type="pct"/>
            <w:tcBorders>
              <w:top w:val="single" w:color="auto" w:sz="12" w:space="0"/>
              <w:left w:val="nil"/>
              <w:bottom w:val="single" w:color="auto" w:sz="12" w:space="0"/>
              <w:right w:val="nil"/>
            </w:tcBorders>
            <w:shd w:val="clear" w:color="000000" w:fill="FFFFFF"/>
            <w:noWrap/>
            <w:vAlign w:val="center"/>
          </w:tcPr>
          <w:p w14:paraId="1827D3DE">
            <w:r>
              <w:t>Intervention</w:t>
            </w:r>
          </w:p>
        </w:tc>
        <w:tc>
          <w:tcPr>
            <w:tcW w:w="660" w:type="pct"/>
            <w:tcBorders>
              <w:top w:val="single" w:color="auto" w:sz="12" w:space="0"/>
              <w:left w:val="nil"/>
              <w:bottom w:val="single" w:color="auto" w:sz="12" w:space="0"/>
              <w:right w:val="nil"/>
            </w:tcBorders>
            <w:shd w:val="clear" w:color="000000" w:fill="FFFFFF"/>
            <w:noWrap/>
            <w:vAlign w:val="center"/>
          </w:tcPr>
          <w:p w14:paraId="4AF7995B">
            <w:r>
              <w:t>Dosage, frequency, duration</w:t>
            </w:r>
          </w:p>
        </w:tc>
        <w:tc>
          <w:tcPr>
            <w:tcW w:w="457" w:type="pct"/>
            <w:tcBorders>
              <w:top w:val="single" w:color="auto" w:sz="12" w:space="0"/>
              <w:left w:val="nil"/>
              <w:bottom w:val="nil"/>
              <w:right w:val="nil"/>
            </w:tcBorders>
            <w:noWrap/>
            <w:vAlign w:val="center"/>
          </w:tcPr>
          <w:p w14:paraId="17C30A42">
            <w:r>
              <w:t>Comparison</w:t>
            </w:r>
          </w:p>
        </w:tc>
        <w:tc>
          <w:tcPr>
            <w:tcW w:w="429" w:type="pct"/>
            <w:tcBorders>
              <w:top w:val="single" w:color="auto" w:sz="12" w:space="0"/>
              <w:left w:val="nil"/>
              <w:bottom w:val="nil"/>
              <w:right w:val="nil"/>
            </w:tcBorders>
            <w:shd w:val="clear" w:color="000000" w:fill="FFFFFF"/>
            <w:noWrap/>
            <w:vAlign w:val="center"/>
          </w:tcPr>
          <w:p w14:paraId="306D436B">
            <w:r>
              <w:t>Dosage, frequency, duration</w:t>
            </w:r>
          </w:p>
        </w:tc>
      </w:tr>
      <w:tr w14:paraId="15FC17B4">
        <w:tblPrEx>
          <w:tblCellMar>
            <w:top w:w="0" w:type="dxa"/>
            <w:left w:w="108" w:type="dxa"/>
            <w:bottom w:w="0" w:type="dxa"/>
            <w:right w:w="108" w:type="dxa"/>
          </w:tblCellMar>
        </w:tblPrEx>
        <w:trPr>
          <w:trHeight w:val="280" w:hRule="atLeast"/>
        </w:trPr>
        <w:tc>
          <w:tcPr>
            <w:tcW w:w="254" w:type="pct"/>
            <w:tcBorders>
              <w:top w:val="single" w:color="auto" w:sz="12" w:space="0"/>
              <w:left w:val="nil"/>
              <w:bottom w:val="nil"/>
              <w:right w:val="nil"/>
            </w:tcBorders>
            <w:noWrap/>
            <w:vAlign w:val="center"/>
          </w:tcPr>
          <w:p w14:paraId="6B225068">
            <w:r>
              <w:t>Pual 2018</w:t>
            </w:r>
          </w:p>
        </w:tc>
        <w:tc>
          <w:tcPr>
            <w:tcW w:w="306" w:type="pct"/>
            <w:tcBorders>
              <w:top w:val="single" w:color="auto" w:sz="12" w:space="0"/>
              <w:left w:val="nil"/>
              <w:bottom w:val="nil"/>
              <w:right w:val="nil"/>
            </w:tcBorders>
            <w:noWrap/>
            <w:vAlign w:val="center"/>
          </w:tcPr>
          <w:p w14:paraId="1E73A5D6">
            <w:r>
              <w:t>RCT</w:t>
            </w:r>
          </w:p>
        </w:tc>
        <w:tc>
          <w:tcPr>
            <w:tcW w:w="305" w:type="pct"/>
            <w:tcBorders>
              <w:top w:val="single" w:color="auto" w:sz="12" w:space="0"/>
              <w:left w:val="nil"/>
              <w:bottom w:val="nil"/>
              <w:right w:val="nil"/>
            </w:tcBorders>
            <w:noWrap/>
            <w:vAlign w:val="center"/>
          </w:tcPr>
          <w:p w14:paraId="55ADC68D">
            <w:r>
              <w:t>Israel, Greece, Italy</w:t>
            </w:r>
          </w:p>
        </w:tc>
        <w:tc>
          <w:tcPr>
            <w:tcW w:w="355" w:type="pct"/>
            <w:tcBorders>
              <w:top w:val="single" w:color="auto" w:sz="12" w:space="0"/>
              <w:left w:val="nil"/>
              <w:bottom w:val="nil"/>
              <w:right w:val="nil"/>
            </w:tcBorders>
            <w:noWrap/>
            <w:vAlign w:val="center"/>
          </w:tcPr>
          <w:p w14:paraId="06A6F7D4">
            <w:r>
              <w:t>I: 208; C: 198</w:t>
            </w:r>
          </w:p>
        </w:tc>
        <w:tc>
          <w:tcPr>
            <w:tcW w:w="406" w:type="pct"/>
            <w:tcBorders>
              <w:top w:val="single" w:color="auto" w:sz="12" w:space="0"/>
              <w:left w:val="nil"/>
              <w:bottom w:val="nil"/>
              <w:right w:val="nil"/>
            </w:tcBorders>
            <w:noWrap/>
            <w:vAlign w:val="center"/>
          </w:tcPr>
          <w:p w14:paraId="4E7E2302">
            <w:r>
              <w:t>Years,  mean (SD) I: 66 (18); C: 66 (16)</w:t>
            </w:r>
          </w:p>
        </w:tc>
        <w:tc>
          <w:tcPr>
            <w:tcW w:w="661" w:type="pct"/>
            <w:tcBorders>
              <w:top w:val="single" w:color="auto" w:sz="12" w:space="0"/>
              <w:left w:val="nil"/>
              <w:bottom w:val="nil"/>
              <w:right w:val="nil"/>
            </w:tcBorders>
            <w:noWrap/>
            <w:vAlign w:val="center"/>
          </w:tcPr>
          <w:p w14:paraId="5811D6E5">
            <w:r>
              <w:t>Bacteria resistant to all antibiotics other than colistin, aminoglycosides, sulbactam, tetracyclines, tigecycline, and co-trimoxazole: CRPA (I/C):  n=8(4%)/13(7%)</w:t>
            </w:r>
          </w:p>
        </w:tc>
        <w:tc>
          <w:tcPr>
            <w:tcW w:w="660" w:type="pct"/>
            <w:tcBorders>
              <w:top w:val="single" w:color="auto" w:sz="12" w:space="0"/>
              <w:left w:val="nil"/>
              <w:bottom w:val="nil"/>
              <w:right w:val="nil"/>
            </w:tcBorders>
            <w:noWrap/>
            <w:vAlign w:val="center"/>
          </w:tcPr>
          <w:p w14:paraId="3F6E00DC">
            <w:r>
              <w:t>Bacteraemia: n=97/76; VAP or HAP: n=85/97; Probable VAP: n=14/11; Urinary tract infection: n=12/14</w:t>
            </w:r>
          </w:p>
        </w:tc>
        <w:tc>
          <w:tcPr>
            <w:tcW w:w="508" w:type="pct"/>
            <w:tcBorders>
              <w:top w:val="single" w:color="auto" w:sz="12" w:space="0"/>
              <w:left w:val="nil"/>
              <w:bottom w:val="nil"/>
              <w:right w:val="nil"/>
            </w:tcBorders>
            <w:noWrap/>
            <w:vAlign w:val="center"/>
          </w:tcPr>
          <w:p w14:paraId="7A23C073">
            <w:r>
              <w:t>Combination: Colistin+meropenem</w:t>
            </w:r>
          </w:p>
        </w:tc>
        <w:tc>
          <w:tcPr>
            <w:tcW w:w="660" w:type="pct"/>
            <w:tcBorders>
              <w:top w:val="single" w:color="auto" w:sz="12" w:space="0"/>
              <w:left w:val="nil"/>
              <w:bottom w:val="nil"/>
              <w:right w:val="nil"/>
            </w:tcBorders>
            <w:noWrap/>
            <w:vAlign w:val="center"/>
          </w:tcPr>
          <w:p w14:paraId="489AF563">
            <w:r>
              <w:t>Colistin methanesulfonate was administered as a 9-MIU loading dose, followed by 4.5-MIU maintenance doses every 12 h, adjusted for renal function in patients with creatinine clearance of less than 50 mL/min with Garonzik and colleagues’ formula. Meropenem was given as a 2 g extended-infusion (3 h) every 8 h, adjusted for renal function by protocol</w:t>
            </w:r>
          </w:p>
        </w:tc>
        <w:tc>
          <w:tcPr>
            <w:tcW w:w="457" w:type="pct"/>
            <w:tcBorders>
              <w:top w:val="single" w:color="auto" w:sz="8" w:space="0"/>
              <w:left w:val="nil"/>
              <w:bottom w:val="nil"/>
              <w:right w:val="nil"/>
            </w:tcBorders>
            <w:noWrap/>
            <w:vAlign w:val="center"/>
          </w:tcPr>
          <w:p w14:paraId="7BC4A94F">
            <w:r>
              <w:t>Monotherapy: Colistin</w:t>
            </w:r>
          </w:p>
        </w:tc>
        <w:tc>
          <w:tcPr>
            <w:tcW w:w="429" w:type="pct"/>
            <w:tcBorders>
              <w:top w:val="single" w:color="auto" w:sz="8" w:space="0"/>
              <w:left w:val="nil"/>
              <w:bottom w:val="nil"/>
              <w:right w:val="nil"/>
            </w:tcBorders>
            <w:noWrap/>
            <w:vAlign w:val="center"/>
          </w:tcPr>
          <w:p w14:paraId="42A02D71">
            <w:r>
              <w:t>Colistin methanesulfonate was administered as a 9-MIU loading dose, followed by 4.5-MIU maintenance doses every 12 h, adjusted for renal function in patients with creatinine clearance of less than 50 mL/min with Garonzik and colleagues’ formula</w:t>
            </w:r>
          </w:p>
        </w:tc>
      </w:tr>
      <w:tr w14:paraId="57DBF805">
        <w:tblPrEx>
          <w:tblCellMar>
            <w:top w:w="0" w:type="dxa"/>
            <w:left w:w="108" w:type="dxa"/>
            <w:bottom w:w="0" w:type="dxa"/>
            <w:right w:w="108" w:type="dxa"/>
          </w:tblCellMar>
        </w:tblPrEx>
        <w:trPr>
          <w:trHeight w:val="280" w:hRule="atLeast"/>
        </w:trPr>
        <w:tc>
          <w:tcPr>
            <w:tcW w:w="254" w:type="pct"/>
            <w:tcBorders>
              <w:top w:val="nil"/>
              <w:left w:val="nil"/>
              <w:bottom w:val="nil"/>
              <w:right w:val="nil"/>
            </w:tcBorders>
            <w:noWrap/>
            <w:vAlign w:val="center"/>
          </w:tcPr>
          <w:p w14:paraId="03260B18">
            <w:r>
              <w:t>Motsch 2019</w:t>
            </w:r>
          </w:p>
        </w:tc>
        <w:tc>
          <w:tcPr>
            <w:tcW w:w="306" w:type="pct"/>
            <w:tcBorders>
              <w:top w:val="nil"/>
              <w:left w:val="nil"/>
              <w:bottom w:val="nil"/>
              <w:right w:val="nil"/>
            </w:tcBorders>
            <w:noWrap/>
            <w:vAlign w:val="center"/>
          </w:tcPr>
          <w:p w14:paraId="65843BC2">
            <w:r>
              <w:t>RCT</w:t>
            </w:r>
          </w:p>
        </w:tc>
        <w:tc>
          <w:tcPr>
            <w:tcW w:w="305" w:type="pct"/>
            <w:tcBorders>
              <w:top w:val="nil"/>
              <w:left w:val="nil"/>
              <w:bottom w:val="nil"/>
              <w:right w:val="nil"/>
            </w:tcBorders>
            <w:noWrap/>
            <w:vAlign w:val="center"/>
          </w:tcPr>
          <w:p w14:paraId="1CF5697B">
            <w:r>
              <w:t>35 hospitals (17 countries)</w:t>
            </w:r>
          </w:p>
        </w:tc>
        <w:tc>
          <w:tcPr>
            <w:tcW w:w="355" w:type="pct"/>
            <w:tcBorders>
              <w:top w:val="nil"/>
              <w:left w:val="nil"/>
              <w:bottom w:val="nil"/>
              <w:right w:val="nil"/>
            </w:tcBorders>
            <w:noWrap/>
            <w:vAlign w:val="center"/>
          </w:tcPr>
          <w:p w14:paraId="0DDC62A9">
            <w:r>
              <w:t>I: 10; C: 21</w:t>
            </w:r>
          </w:p>
        </w:tc>
        <w:tc>
          <w:tcPr>
            <w:tcW w:w="406" w:type="pct"/>
            <w:tcBorders>
              <w:top w:val="nil"/>
              <w:left w:val="nil"/>
              <w:bottom w:val="nil"/>
              <w:right w:val="nil"/>
            </w:tcBorders>
            <w:noWrap/>
            <w:vAlign w:val="center"/>
          </w:tcPr>
          <w:p w14:paraId="5AC1B21A">
            <w:r>
              <w:t>Years, median range, I: 61 (49–80); C: 59 (19–75)</w:t>
            </w:r>
          </w:p>
        </w:tc>
        <w:tc>
          <w:tcPr>
            <w:tcW w:w="661" w:type="pct"/>
            <w:tcBorders>
              <w:top w:val="nil"/>
              <w:left w:val="nil"/>
              <w:bottom w:val="nil"/>
              <w:right w:val="nil"/>
            </w:tcBorders>
            <w:noWrap/>
            <w:vAlign w:val="center"/>
          </w:tcPr>
          <w:p w14:paraId="53DA7EF0">
            <w:r>
              <w:t>Imipenem nonsusceptible, imipenem/relebactam-susceptible, and colistin-susceptible pathogens: CRPA(I/C)n=8(80%)/16(76.2%)</w:t>
            </w:r>
          </w:p>
        </w:tc>
        <w:tc>
          <w:tcPr>
            <w:tcW w:w="660" w:type="pct"/>
            <w:tcBorders>
              <w:top w:val="nil"/>
              <w:left w:val="nil"/>
              <w:bottom w:val="nil"/>
              <w:right w:val="nil"/>
            </w:tcBorders>
            <w:noWrap/>
            <w:vAlign w:val="center"/>
          </w:tcPr>
          <w:p w14:paraId="0044A1D2">
            <w:r>
              <w:t>HAP: n=1/1; VAP: n=2/7; cUTI(urinary tract abnormalities): n=3/5; cUTI(acute pyelonephritis): n=2/6; cIAI: n=2/2;</w:t>
            </w:r>
          </w:p>
        </w:tc>
        <w:tc>
          <w:tcPr>
            <w:tcW w:w="508" w:type="pct"/>
            <w:tcBorders>
              <w:top w:val="nil"/>
              <w:left w:val="nil"/>
              <w:bottom w:val="nil"/>
              <w:right w:val="nil"/>
            </w:tcBorders>
            <w:noWrap/>
            <w:vAlign w:val="center"/>
          </w:tcPr>
          <w:p w14:paraId="6400A697">
            <w:r>
              <w:t>Combination: IMI/REL + Colistin</w:t>
            </w:r>
          </w:p>
        </w:tc>
        <w:tc>
          <w:tcPr>
            <w:tcW w:w="660" w:type="pct"/>
            <w:tcBorders>
              <w:top w:val="nil"/>
              <w:left w:val="nil"/>
              <w:bottom w:val="nil"/>
              <w:right w:val="nil"/>
            </w:tcBorders>
            <w:noWrap/>
            <w:vAlign w:val="center"/>
          </w:tcPr>
          <w:p w14:paraId="0803DCA1">
            <w:r>
              <w:t xml:space="preserve">Loading dose to achieve 300 mg </w:t>
            </w:r>
            <w:r>
              <w:rPr>
                <w:b/>
                <w:bCs/>
              </w:rPr>
              <w:t xml:space="preserve">colistin </w:t>
            </w:r>
            <w:r>
              <w:t xml:space="preserve">base activity, followed by maintenance doses up to 150 mg colistin base activity, every 12 hours. </w:t>
            </w:r>
            <w:r>
              <w:rPr>
                <w:b/>
                <w:bCs/>
              </w:rPr>
              <w:t>Treatment duration</w:t>
            </w:r>
            <w:r>
              <w:t>, mean (range), days: 10.8 (2–20).</w:t>
            </w:r>
          </w:p>
        </w:tc>
        <w:tc>
          <w:tcPr>
            <w:tcW w:w="457" w:type="pct"/>
            <w:tcBorders>
              <w:top w:val="nil"/>
              <w:left w:val="nil"/>
              <w:bottom w:val="nil"/>
              <w:right w:val="nil"/>
            </w:tcBorders>
            <w:noWrap/>
            <w:vAlign w:val="center"/>
          </w:tcPr>
          <w:p w14:paraId="1733D253">
            <w:r>
              <w:t>Monotherapy: IMI/REL</w:t>
            </w:r>
          </w:p>
        </w:tc>
        <w:tc>
          <w:tcPr>
            <w:tcW w:w="429" w:type="pct"/>
            <w:tcBorders>
              <w:top w:val="nil"/>
              <w:left w:val="nil"/>
              <w:bottom w:val="nil"/>
              <w:right w:val="nil"/>
            </w:tcBorders>
            <w:noWrap/>
            <w:vAlign w:val="center"/>
          </w:tcPr>
          <w:p w14:paraId="3A1878B8">
            <w:r>
              <w:t>500 mg/250 mg every 6 hours.</w:t>
            </w:r>
            <w:r>
              <w:br w:type="textWrapping"/>
            </w:r>
            <w:r>
              <w:br w:type="textWrapping"/>
            </w:r>
            <w:r>
              <w:t>Treatment duration, mean (range), days: 11.4 (2–18) .</w:t>
            </w:r>
          </w:p>
        </w:tc>
      </w:tr>
      <w:tr w14:paraId="72E79539">
        <w:tblPrEx>
          <w:tblCellMar>
            <w:top w:w="0" w:type="dxa"/>
            <w:left w:w="108" w:type="dxa"/>
            <w:bottom w:w="0" w:type="dxa"/>
            <w:right w:w="108" w:type="dxa"/>
          </w:tblCellMar>
        </w:tblPrEx>
        <w:trPr>
          <w:trHeight w:val="280" w:hRule="atLeast"/>
        </w:trPr>
        <w:tc>
          <w:tcPr>
            <w:tcW w:w="254" w:type="pct"/>
            <w:tcBorders>
              <w:top w:val="nil"/>
              <w:left w:val="nil"/>
              <w:bottom w:val="nil"/>
              <w:right w:val="nil"/>
            </w:tcBorders>
            <w:noWrap/>
            <w:vAlign w:val="center"/>
          </w:tcPr>
          <w:p w14:paraId="2CC6B51B">
            <w:r>
              <w:t>Bowers 2012</w:t>
            </w:r>
          </w:p>
        </w:tc>
        <w:tc>
          <w:tcPr>
            <w:tcW w:w="306" w:type="pct"/>
            <w:tcBorders>
              <w:top w:val="nil"/>
              <w:left w:val="nil"/>
              <w:bottom w:val="nil"/>
              <w:right w:val="nil"/>
            </w:tcBorders>
            <w:noWrap/>
            <w:vAlign w:val="center"/>
          </w:tcPr>
          <w:p w14:paraId="5E1E85C1">
            <w:r>
              <w:t>Retrospective cohort study</w:t>
            </w:r>
          </w:p>
        </w:tc>
        <w:tc>
          <w:tcPr>
            <w:tcW w:w="305" w:type="pct"/>
            <w:tcBorders>
              <w:top w:val="nil"/>
              <w:left w:val="nil"/>
              <w:bottom w:val="nil"/>
              <w:right w:val="nil"/>
            </w:tcBorders>
            <w:noWrap/>
            <w:vAlign w:val="center"/>
          </w:tcPr>
          <w:p w14:paraId="53FE18C0">
            <w:r>
              <w:t>USA</w:t>
            </w:r>
          </w:p>
        </w:tc>
        <w:tc>
          <w:tcPr>
            <w:tcW w:w="355" w:type="pct"/>
            <w:tcBorders>
              <w:top w:val="nil"/>
              <w:left w:val="nil"/>
              <w:bottom w:val="nil"/>
              <w:right w:val="nil"/>
            </w:tcBorders>
            <w:noWrap/>
            <w:vAlign w:val="center"/>
          </w:tcPr>
          <w:p w14:paraId="56085D35">
            <w:r>
              <w:t>I: 82; C: 286</w:t>
            </w:r>
          </w:p>
        </w:tc>
        <w:tc>
          <w:tcPr>
            <w:tcW w:w="406" w:type="pct"/>
            <w:tcBorders>
              <w:top w:val="nil"/>
              <w:left w:val="nil"/>
              <w:bottom w:val="nil"/>
              <w:right w:val="nil"/>
            </w:tcBorders>
            <w:noWrap/>
            <w:vAlign w:val="center"/>
          </w:tcPr>
          <w:p w14:paraId="19ECA3D5">
            <w:r>
              <w:t>Mean age (year) ± SD： I: 59.8 ± 14.9; C: 62.2 ± 15.4</w:t>
            </w:r>
          </w:p>
        </w:tc>
        <w:tc>
          <w:tcPr>
            <w:tcW w:w="661" w:type="pct"/>
            <w:tcBorders>
              <w:top w:val="nil"/>
              <w:left w:val="nil"/>
              <w:bottom w:val="nil"/>
              <w:right w:val="nil"/>
            </w:tcBorders>
            <w:noWrap/>
            <w:vAlign w:val="center"/>
          </w:tcPr>
          <w:p w14:paraId="2655D33C">
            <w:r>
              <w:t>PA</w:t>
            </w:r>
          </w:p>
        </w:tc>
        <w:tc>
          <w:tcPr>
            <w:tcW w:w="660" w:type="pct"/>
            <w:tcBorders>
              <w:top w:val="nil"/>
              <w:left w:val="nil"/>
              <w:bottom w:val="nil"/>
              <w:right w:val="nil"/>
            </w:tcBorders>
            <w:noWrap/>
            <w:vAlign w:val="center"/>
          </w:tcPr>
          <w:p w14:paraId="459568C2">
            <w:r>
              <w:t>Bacteremia</w:t>
            </w:r>
          </w:p>
        </w:tc>
        <w:tc>
          <w:tcPr>
            <w:tcW w:w="508" w:type="pct"/>
            <w:tcBorders>
              <w:top w:val="nil"/>
              <w:left w:val="nil"/>
              <w:bottom w:val="nil"/>
              <w:right w:val="nil"/>
            </w:tcBorders>
            <w:noWrap/>
            <w:vAlign w:val="center"/>
          </w:tcPr>
          <w:p w14:paraId="0FE0AAA7">
            <w:r>
              <w:t>Combination group</w:t>
            </w:r>
          </w:p>
        </w:tc>
        <w:tc>
          <w:tcPr>
            <w:tcW w:w="660" w:type="pct"/>
            <w:tcBorders>
              <w:top w:val="nil"/>
              <w:left w:val="nil"/>
              <w:bottom w:val="nil"/>
              <w:right w:val="nil"/>
            </w:tcBorders>
            <w:noWrap/>
            <w:vAlign w:val="center"/>
          </w:tcPr>
          <w:p w14:paraId="38FF89C8">
            <w:r>
              <w:t>More than one appropriate antimicrobial agent. Efepime was the most frequently administered antipseudomonal beta-lactam (n=40) for patients who received combination therapy, followed by piperacillin-tazobactam (n=26) and meropenem (n=20).  Tobramycin was the aminoglycoside that was used most frequently in combinationtherapy (n=15).</w:t>
            </w:r>
          </w:p>
        </w:tc>
        <w:tc>
          <w:tcPr>
            <w:tcW w:w="457" w:type="pct"/>
            <w:tcBorders>
              <w:top w:val="nil"/>
              <w:left w:val="nil"/>
              <w:bottom w:val="nil"/>
              <w:right w:val="nil"/>
            </w:tcBorders>
            <w:noWrap/>
            <w:vAlign w:val="center"/>
          </w:tcPr>
          <w:p w14:paraId="3E559194">
            <w:r>
              <w:t>Monotherapy</w:t>
            </w:r>
          </w:p>
        </w:tc>
        <w:tc>
          <w:tcPr>
            <w:tcW w:w="429" w:type="pct"/>
            <w:tcBorders>
              <w:top w:val="nil"/>
              <w:left w:val="nil"/>
              <w:bottom w:val="nil"/>
              <w:right w:val="nil"/>
            </w:tcBorders>
            <w:noWrap/>
            <w:vAlign w:val="center"/>
          </w:tcPr>
          <w:p w14:paraId="73BE9F06">
            <w:r>
              <w:t>NR</w:t>
            </w:r>
          </w:p>
        </w:tc>
      </w:tr>
      <w:tr w14:paraId="4A0EEFFD">
        <w:tblPrEx>
          <w:tblCellMar>
            <w:top w:w="0" w:type="dxa"/>
            <w:left w:w="108" w:type="dxa"/>
            <w:bottom w:w="0" w:type="dxa"/>
            <w:right w:w="108" w:type="dxa"/>
          </w:tblCellMar>
        </w:tblPrEx>
        <w:trPr>
          <w:trHeight w:val="290" w:hRule="atLeast"/>
        </w:trPr>
        <w:tc>
          <w:tcPr>
            <w:tcW w:w="254" w:type="pct"/>
            <w:tcBorders>
              <w:top w:val="nil"/>
              <w:left w:val="nil"/>
              <w:bottom w:val="nil"/>
              <w:right w:val="nil"/>
            </w:tcBorders>
            <w:noWrap/>
            <w:vAlign w:val="center"/>
          </w:tcPr>
          <w:p w14:paraId="3954A936">
            <w:r>
              <w:t>Pena 2013</w:t>
            </w:r>
          </w:p>
        </w:tc>
        <w:tc>
          <w:tcPr>
            <w:tcW w:w="306" w:type="pct"/>
            <w:tcBorders>
              <w:top w:val="nil"/>
              <w:left w:val="nil"/>
              <w:bottom w:val="nil"/>
              <w:right w:val="nil"/>
            </w:tcBorders>
            <w:noWrap/>
            <w:vAlign w:val="center"/>
          </w:tcPr>
          <w:p w14:paraId="7FEC600B">
            <w:r>
              <w:t>Post Hoc Analysis of a Prospective</w:t>
            </w:r>
            <w:r>
              <w:br w:type="textWrapping"/>
            </w:r>
            <w:r>
              <w:t>Cohort study</w:t>
            </w:r>
          </w:p>
        </w:tc>
        <w:tc>
          <w:tcPr>
            <w:tcW w:w="305" w:type="pct"/>
            <w:tcBorders>
              <w:top w:val="nil"/>
              <w:left w:val="nil"/>
              <w:bottom w:val="nil"/>
              <w:right w:val="nil"/>
            </w:tcBorders>
            <w:noWrap/>
            <w:vAlign w:val="center"/>
          </w:tcPr>
          <w:p w14:paraId="2A2D87A0">
            <w:r>
              <w:t>Spain</w:t>
            </w:r>
          </w:p>
        </w:tc>
        <w:tc>
          <w:tcPr>
            <w:tcW w:w="355" w:type="pct"/>
            <w:tcBorders>
              <w:top w:val="nil"/>
              <w:left w:val="nil"/>
              <w:bottom w:val="nil"/>
              <w:right w:val="nil"/>
            </w:tcBorders>
            <w:noWrap/>
            <w:vAlign w:val="center"/>
          </w:tcPr>
          <w:p w14:paraId="2FB8C1E5">
            <w:r>
              <w:t>I: 71; C: 339</w:t>
            </w:r>
          </w:p>
        </w:tc>
        <w:tc>
          <w:tcPr>
            <w:tcW w:w="406" w:type="pct"/>
            <w:tcBorders>
              <w:top w:val="nil"/>
              <w:left w:val="nil"/>
              <w:bottom w:val="nil"/>
              <w:right w:val="nil"/>
            </w:tcBorders>
            <w:noWrap/>
            <w:vAlign w:val="center"/>
          </w:tcPr>
          <w:p w14:paraId="5DF32D94">
            <w:r>
              <w:t>Years, mean±SD; I: 62.7±18.2; C: 64.6±16.6</w:t>
            </w:r>
          </w:p>
        </w:tc>
        <w:tc>
          <w:tcPr>
            <w:tcW w:w="661" w:type="pct"/>
            <w:tcBorders>
              <w:top w:val="nil"/>
              <w:left w:val="nil"/>
              <w:bottom w:val="nil"/>
              <w:right w:val="nil"/>
            </w:tcBorders>
            <w:noWrap/>
            <w:vAlign w:val="center"/>
          </w:tcPr>
          <w:p w14:paraId="55287A3B">
            <w:r>
              <w:t>PA: MDR-PA(I/C); n=4 (6%)/71 (21%); XDR-PA (I/C)=3(4%)/ 25 (7%)</w:t>
            </w:r>
          </w:p>
        </w:tc>
        <w:tc>
          <w:tcPr>
            <w:tcW w:w="660" w:type="pct"/>
            <w:tcBorders>
              <w:top w:val="nil"/>
              <w:left w:val="nil"/>
              <w:bottom w:val="nil"/>
              <w:right w:val="nil"/>
            </w:tcBorders>
            <w:noWrap/>
            <w:vAlign w:val="center"/>
          </w:tcPr>
          <w:p w14:paraId="0CE5FFC1">
            <w:r>
              <w:t>Bacteremia</w:t>
            </w:r>
          </w:p>
        </w:tc>
        <w:tc>
          <w:tcPr>
            <w:tcW w:w="508" w:type="pct"/>
            <w:tcBorders>
              <w:top w:val="nil"/>
              <w:left w:val="nil"/>
              <w:bottom w:val="nil"/>
              <w:right w:val="nil"/>
            </w:tcBorders>
            <w:noWrap/>
            <w:vAlign w:val="center"/>
          </w:tcPr>
          <w:p w14:paraId="6E914C2D">
            <w:r>
              <w:t>Combination: adequate definitive combination therapy</w:t>
            </w:r>
          </w:p>
        </w:tc>
        <w:tc>
          <w:tcPr>
            <w:tcW w:w="660" w:type="pct"/>
            <w:tcBorders>
              <w:top w:val="nil"/>
              <w:left w:val="nil"/>
              <w:bottom w:val="nil"/>
              <w:right w:val="nil"/>
            </w:tcBorders>
            <w:noWrap/>
            <w:vAlign w:val="center"/>
          </w:tcPr>
          <w:p w14:paraId="57245BF9">
            <w:r>
              <w:t>Antimicrobial therapy was considered adequate when the PA isolate was susceptible to the antimicrobial prescribed and the dose was in accordance with current medical standards. Combination therapy was defined as adequate if the strain was susceptible to both antipseudomonal drugs given simultane</w:t>
            </w:r>
            <w:r>
              <w:rPr>
                <w:b/>
                <w:bCs/>
              </w:rPr>
              <w:t>o</w:t>
            </w:r>
            <w:r>
              <w:t>usly; β-lactam and aminoglycosides: 35 (49%),β-lactam and fluoroquinolones: 26 (37%), fluoroquinolones and aminoglycoside:7 (10%), colistin and aminoglycoside: 3.(21%). Unmodified empirical combination therapy: 15 (21%)</w:t>
            </w:r>
          </w:p>
        </w:tc>
        <w:tc>
          <w:tcPr>
            <w:tcW w:w="457" w:type="pct"/>
            <w:tcBorders>
              <w:top w:val="nil"/>
              <w:left w:val="nil"/>
              <w:bottom w:val="nil"/>
              <w:right w:val="nil"/>
            </w:tcBorders>
            <w:noWrap/>
            <w:vAlign w:val="center"/>
          </w:tcPr>
          <w:p w14:paraId="28E94297">
            <w:r>
              <w:t>Monotherapy： adequate definitive single-drug therapy</w:t>
            </w:r>
          </w:p>
        </w:tc>
        <w:tc>
          <w:tcPr>
            <w:tcW w:w="429" w:type="pct"/>
            <w:tcBorders>
              <w:top w:val="nil"/>
              <w:left w:val="nil"/>
              <w:bottom w:val="nil"/>
              <w:right w:val="nil"/>
            </w:tcBorders>
            <w:noWrap/>
            <w:vAlign w:val="center"/>
          </w:tcPr>
          <w:p w14:paraId="17AC5A3F">
            <w:r>
              <w:t>Treatment with an active antipseudomonal antimicrobial was considered single-drug therapy</w:t>
            </w:r>
          </w:p>
        </w:tc>
      </w:tr>
      <w:tr w14:paraId="7A908E94">
        <w:tblPrEx>
          <w:tblCellMar>
            <w:top w:w="0" w:type="dxa"/>
            <w:left w:w="108" w:type="dxa"/>
            <w:bottom w:w="0" w:type="dxa"/>
            <w:right w:w="108" w:type="dxa"/>
          </w:tblCellMar>
        </w:tblPrEx>
        <w:trPr>
          <w:trHeight w:val="280" w:hRule="atLeast"/>
        </w:trPr>
        <w:tc>
          <w:tcPr>
            <w:tcW w:w="254" w:type="pct"/>
            <w:tcBorders>
              <w:top w:val="nil"/>
              <w:left w:val="nil"/>
              <w:bottom w:val="nil"/>
              <w:right w:val="nil"/>
            </w:tcBorders>
            <w:noWrap/>
            <w:vAlign w:val="center"/>
          </w:tcPr>
          <w:p w14:paraId="3A19933A">
            <w:r>
              <w:t>Khawcharoenporn 2018</w:t>
            </w:r>
          </w:p>
        </w:tc>
        <w:tc>
          <w:tcPr>
            <w:tcW w:w="306" w:type="pct"/>
            <w:tcBorders>
              <w:top w:val="nil"/>
              <w:left w:val="nil"/>
              <w:bottom w:val="nil"/>
              <w:right w:val="nil"/>
            </w:tcBorders>
            <w:noWrap/>
            <w:vAlign w:val="center"/>
          </w:tcPr>
          <w:p w14:paraId="0231FB81">
            <w:r>
              <w:t>Retrospective cohort study</w:t>
            </w:r>
          </w:p>
        </w:tc>
        <w:tc>
          <w:tcPr>
            <w:tcW w:w="305" w:type="pct"/>
            <w:tcBorders>
              <w:top w:val="nil"/>
              <w:left w:val="nil"/>
              <w:bottom w:val="nil"/>
              <w:right w:val="nil"/>
            </w:tcBorders>
            <w:noWrap/>
            <w:vAlign w:val="center"/>
          </w:tcPr>
          <w:p w14:paraId="528A38C3">
            <w:r>
              <w:t>Thailand</w:t>
            </w:r>
          </w:p>
        </w:tc>
        <w:tc>
          <w:tcPr>
            <w:tcW w:w="355" w:type="pct"/>
            <w:tcBorders>
              <w:top w:val="nil"/>
              <w:left w:val="nil"/>
              <w:bottom w:val="nil"/>
              <w:right w:val="nil"/>
            </w:tcBorders>
            <w:noWrap/>
            <w:vAlign w:val="center"/>
          </w:tcPr>
          <w:p w14:paraId="1BB073D3">
            <w:r>
              <w:t>I: 40; C: 74</w:t>
            </w:r>
          </w:p>
        </w:tc>
        <w:tc>
          <w:tcPr>
            <w:tcW w:w="406" w:type="pct"/>
            <w:tcBorders>
              <w:top w:val="nil"/>
              <w:left w:val="nil"/>
              <w:bottom w:val="nil"/>
              <w:right w:val="nil"/>
            </w:tcBorders>
            <w:noWrap/>
            <w:vAlign w:val="center"/>
          </w:tcPr>
          <w:p w14:paraId="5B582E1B">
            <w:r>
              <w:t>≥18 years</w:t>
            </w:r>
          </w:p>
        </w:tc>
        <w:tc>
          <w:tcPr>
            <w:tcW w:w="661" w:type="pct"/>
            <w:tcBorders>
              <w:top w:val="nil"/>
              <w:left w:val="nil"/>
              <w:bottom w:val="nil"/>
              <w:right w:val="nil"/>
            </w:tcBorders>
            <w:noWrap/>
            <w:vAlign w:val="center"/>
          </w:tcPr>
          <w:p w14:paraId="60EDB472">
            <w:r>
              <w:t>XDR-PA</w:t>
            </w:r>
          </w:p>
        </w:tc>
        <w:tc>
          <w:tcPr>
            <w:tcW w:w="660" w:type="pct"/>
            <w:tcBorders>
              <w:top w:val="nil"/>
              <w:left w:val="nil"/>
              <w:bottom w:val="nil"/>
              <w:right w:val="nil"/>
            </w:tcBorders>
            <w:noWrap/>
            <w:vAlign w:val="center"/>
          </w:tcPr>
          <w:p w14:paraId="1A30762C">
            <w:r>
              <w:t>Pneumonia</w:t>
            </w:r>
          </w:p>
        </w:tc>
        <w:tc>
          <w:tcPr>
            <w:tcW w:w="508" w:type="pct"/>
            <w:tcBorders>
              <w:top w:val="nil"/>
              <w:left w:val="nil"/>
              <w:bottom w:val="nil"/>
              <w:right w:val="nil"/>
            </w:tcBorders>
            <w:noWrap/>
            <w:vAlign w:val="center"/>
          </w:tcPr>
          <w:p w14:paraId="50323A05">
            <w:r>
              <w:t>Combination: Colistin and fosfomycin (n = 22;  55%), Doripenem and fosfomycin (n = 12;  30%), Colistin and Doripenem (n= 6;  15%)</w:t>
            </w:r>
          </w:p>
        </w:tc>
        <w:tc>
          <w:tcPr>
            <w:tcW w:w="660" w:type="pct"/>
            <w:tcBorders>
              <w:top w:val="nil"/>
              <w:left w:val="nil"/>
              <w:bottom w:val="nil"/>
              <w:right w:val="nil"/>
            </w:tcBorders>
            <w:noWrap/>
            <w:vAlign w:val="center"/>
          </w:tcPr>
          <w:p w14:paraId="31E8A8F6">
            <w:r>
              <w:t xml:space="preserve">Active combined 2-drug therapy containing two different types of antibiotics against XDR-PA. Normal renal function:  1) </w:t>
            </w:r>
            <w:r>
              <w:rPr>
                <w:b/>
                <w:bCs/>
              </w:rPr>
              <w:t>inhaled colistin</w:t>
            </w:r>
            <w:r>
              <w:t xml:space="preserve"> (40 mg of colistin diluted in 2 ml of sterile normal saline delivered via a mask or ventilator nebulizer every 6 hours), 2) </w:t>
            </w:r>
            <w:r>
              <w:rPr>
                <w:b/>
                <w:bCs/>
              </w:rPr>
              <w:t>intravenous (IV) colistin</w:t>
            </w:r>
            <w:r>
              <w:t xml:space="preserve"> (300 mg loading followed by 150 mg IV every 12 hours), 3) high-dose prolonged IV infusion of </w:t>
            </w:r>
            <w:r>
              <w:rPr>
                <w:b/>
                <w:bCs/>
              </w:rPr>
              <w:t>carbapenems</w:t>
            </w:r>
            <w:r>
              <w:t xml:space="preserve"> (imipenem 1 gram IV over 3 hours every 8 hours,  meropenem 1 gram IV over 3 hours every 8 hours or doripenem 1 gram IV over 4 hours every 8 hours) 4) </w:t>
            </w:r>
            <w:r>
              <w:rPr>
                <w:b/>
                <w:bCs/>
              </w:rPr>
              <w:t>fosfomycin</w:t>
            </w:r>
            <w:r>
              <w:t xml:space="preserve"> 4 gram IV over 4 hours every 8 hours and 5) </w:t>
            </w:r>
            <w:r>
              <w:rPr>
                <w:b/>
                <w:bCs/>
              </w:rPr>
              <w:t>piperacillin-tazobactam</w:t>
            </w:r>
            <w:r>
              <w:t xml:space="preserve"> (4.5 gram IV over 4 hours every 8 hours).      The formulation of colistin was colistin methanesulfonate (1 mg equals 12,500 international units). The dosage of IV colistin was renally adjusted according to a previous study, while dosage adjustment for other antibiotics was according to each antibiotics’ package leaflets.</w:t>
            </w:r>
          </w:p>
        </w:tc>
        <w:tc>
          <w:tcPr>
            <w:tcW w:w="457" w:type="pct"/>
            <w:tcBorders>
              <w:top w:val="nil"/>
              <w:left w:val="nil"/>
              <w:bottom w:val="nil"/>
              <w:right w:val="nil"/>
            </w:tcBorders>
            <w:noWrap/>
            <w:vAlign w:val="center"/>
          </w:tcPr>
          <w:p w14:paraId="45A6A25C">
            <w:r>
              <w:t>Monotherapy: Colistin and non-active carbapenem (n = 40; 54%); Colistin alone (n = 22; 30%); Colistin and non-active fosfomycin (n = 6; 8%); Fosfomycin and non-active carbapenem (n =4; 5%); Doripenem and non-active fosfomycin (n = 2; 3%)</w:t>
            </w:r>
          </w:p>
        </w:tc>
        <w:tc>
          <w:tcPr>
            <w:tcW w:w="429" w:type="pct"/>
            <w:tcBorders>
              <w:top w:val="nil"/>
              <w:left w:val="nil"/>
              <w:bottom w:val="nil"/>
              <w:right w:val="nil"/>
            </w:tcBorders>
            <w:noWrap/>
            <w:vAlign w:val="center"/>
          </w:tcPr>
          <w:p w14:paraId="24AF77B8">
            <w:r>
              <w:t>Active monotherapy was defined as a treatment regimen comprising only one type of antibiotic which was active against XDR-PA.</w:t>
            </w:r>
          </w:p>
        </w:tc>
      </w:tr>
      <w:tr w14:paraId="1A028D41">
        <w:tblPrEx>
          <w:tblCellMar>
            <w:top w:w="0" w:type="dxa"/>
            <w:left w:w="108" w:type="dxa"/>
            <w:bottom w:w="0" w:type="dxa"/>
            <w:right w:w="108" w:type="dxa"/>
          </w:tblCellMar>
        </w:tblPrEx>
        <w:trPr>
          <w:trHeight w:val="280" w:hRule="atLeast"/>
        </w:trPr>
        <w:tc>
          <w:tcPr>
            <w:tcW w:w="254" w:type="pct"/>
            <w:tcBorders>
              <w:top w:val="nil"/>
              <w:left w:val="nil"/>
              <w:bottom w:val="nil"/>
              <w:right w:val="nil"/>
            </w:tcBorders>
            <w:noWrap/>
            <w:vAlign w:val="center"/>
          </w:tcPr>
          <w:p w14:paraId="16BAC193">
            <w:r>
              <w:t>Tschudin-sutter 2018</w:t>
            </w:r>
          </w:p>
        </w:tc>
        <w:tc>
          <w:tcPr>
            <w:tcW w:w="306" w:type="pct"/>
            <w:tcBorders>
              <w:top w:val="nil"/>
              <w:left w:val="nil"/>
              <w:bottom w:val="nil"/>
              <w:right w:val="nil"/>
            </w:tcBorders>
            <w:noWrap/>
            <w:vAlign w:val="center"/>
          </w:tcPr>
          <w:p w14:paraId="15A0D6FB">
            <w:r>
              <w:t>Retrospective</w:t>
            </w:r>
            <w:r>
              <w:br w:type="textWrapping"/>
            </w:r>
            <w:r>
              <w:t>observational cohort study</w:t>
            </w:r>
          </w:p>
        </w:tc>
        <w:tc>
          <w:tcPr>
            <w:tcW w:w="305" w:type="pct"/>
            <w:tcBorders>
              <w:top w:val="nil"/>
              <w:left w:val="nil"/>
              <w:bottom w:val="nil"/>
              <w:right w:val="nil"/>
            </w:tcBorders>
            <w:noWrap/>
            <w:vAlign w:val="center"/>
          </w:tcPr>
          <w:p w14:paraId="566425F6">
            <w:r>
              <w:t>Switzerland</w:t>
            </w:r>
          </w:p>
        </w:tc>
        <w:tc>
          <w:tcPr>
            <w:tcW w:w="355" w:type="pct"/>
            <w:tcBorders>
              <w:top w:val="nil"/>
              <w:left w:val="nil"/>
              <w:bottom w:val="nil"/>
              <w:right w:val="nil"/>
            </w:tcBorders>
            <w:noWrap/>
            <w:vAlign w:val="center"/>
          </w:tcPr>
          <w:p w14:paraId="5B1132D8">
            <w:r>
              <w:t>I: 80; C: 107</w:t>
            </w:r>
          </w:p>
        </w:tc>
        <w:tc>
          <w:tcPr>
            <w:tcW w:w="406" w:type="pct"/>
            <w:tcBorders>
              <w:top w:val="nil"/>
              <w:left w:val="nil"/>
              <w:bottom w:val="nil"/>
              <w:right w:val="nil"/>
            </w:tcBorders>
            <w:noWrap/>
            <w:vAlign w:val="center"/>
          </w:tcPr>
          <w:p w14:paraId="3DD87890">
            <w:r>
              <w:t>Years, median, IQR: 66, 51-76</w:t>
            </w:r>
          </w:p>
        </w:tc>
        <w:tc>
          <w:tcPr>
            <w:tcW w:w="661" w:type="pct"/>
            <w:tcBorders>
              <w:top w:val="nil"/>
              <w:left w:val="nil"/>
              <w:bottom w:val="nil"/>
              <w:right w:val="nil"/>
            </w:tcBorders>
            <w:noWrap/>
            <w:vAlign w:val="center"/>
          </w:tcPr>
          <w:p w14:paraId="3495FBF6">
            <w:r>
              <w:t xml:space="preserve">PA: MDR-PA(I/C): 7.5%/5.6%; XDR-PA (I/C):1.3%/0% </w:t>
            </w:r>
          </w:p>
        </w:tc>
        <w:tc>
          <w:tcPr>
            <w:tcW w:w="660" w:type="pct"/>
            <w:tcBorders>
              <w:top w:val="nil"/>
              <w:left w:val="nil"/>
              <w:bottom w:val="nil"/>
              <w:right w:val="nil"/>
            </w:tcBorders>
            <w:noWrap/>
            <w:vAlign w:val="center"/>
          </w:tcPr>
          <w:p w14:paraId="78EFE96D">
            <w:r>
              <w:t>Bloodstream infections.</w:t>
            </w:r>
          </w:p>
        </w:tc>
        <w:tc>
          <w:tcPr>
            <w:tcW w:w="508" w:type="pct"/>
            <w:tcBorders>
              <w:top w:val="nil"/>
              <w:left w:val="nil"/>
              <w:bottom w:val="nil"/>
              <w:right w:val="nil"/>
            </w:tcBorders>
            <w:noWrap/>
            <w:vAlign w:val="center"/>
          </w:tcPr>
          <w:p w14:paraId="26DAEB5E">
            <w:r>
              <w:t>Combination group</w:t>
            </w:r>
          </w:p>
        </w:tc>
        <w:tc>
          <w:tcPr>
            <w:tcW w:w="660" w:type="pct"/>
            <w:tcBorders>
              <w:top w:val="nil"/>
              <w:left w:val="nil"/>
              <w:bottom w:val="nil"/>
              <w:right w:val="nil"/>
            </w:tcBorders>
            <w:noWrap/>
            <w:vAlign w:val="center"/>
          </w:tcPr>
          <w:p w14:paraId="378436DD">
            <w:r>
              <w:t>Administration of two antibiotic agents for at least 48 hours with confirmed activity. 80% received a combination of a betalactam with an aminoglycoside and 20% (16/80) received a combination of a betalactam and a quinolone. Median treatment duration was 15 days (IQR 12–20 days)</w:t>
            </w:r>
          </w:p>
        </w:tc>
        <w:tc>
          <w:tcPr>
            <w:tcW w:w="457" w:type="pct"/>
            <w:tcBorders>
              <w:top w:val="nil"/>
              <w:left w:val="nil"/>
              <w:bottom w:val="nil"/>
              <w:right w:val="nil"/>
            </w:tcBorders>
            <w:noWrap/>
            <w:vAlign w:val="center"/>
          </w:tcPr>
          <w:p w14:paraId="66397B39">
            <w:r>
              <w:t>Monotherapy</w:t>
            </w:r>
          </w:p>
        </w:tc>
        <w:tc>
          <w:tcPr>
            <w:tcW w:w="429" w:type="pct"/>
            <w:tcBorders>
              <w:top w:val="nil"/>
              <w:left w:val="nil"/>
              <w:bottom w:val="nil"/>
              <w:right w:val="nil"/>
            </w:tcBorders>
            <w:noWrap/>
            <w:vAlign w:val="center"/>
          </w:tcPr>
          <w:p w14:paraId="463929BA">
            <w:r>
              <w:t>Median treatment duration was 15 days (IQR 12–20 days)</w:t>
            </w:r>
          </w:p>
        </w:tc>
      </w:tr>
      <w:tr w14:paraId="7F222E6C">
        <w:tblPrEx>
          <w:tblCellMar>
            <w:top w:w="0" w:type="dxa"/>
            <w:left w:w="108" w:type="dxa"/>
            <w:bottom w:w="0" w:type="dxa"/>
            <w:right w:w="108" w:type="dxa"/>
          </w:tblCellMar>
        </w:tblPrEx>
        <w:trPr>
          <w:trHeight w:val="280" w:hRule="atLeast"/>
        </w:trPr>
        <w:tc>
          <w:tcPr>
            <w:tcW w:w="254" w:type="pct"/>
            <w:tcBorders>
              <w:top w:val="nil"/>
              <w:left w:val="nil"/>
              <w:bottom w:val="nil"/>
              <w:right w:val="nil"/>
            </w:tcBorders>
            <w:noWrap/>
            <w:vAlign w:val="center"/>
          </w:tcPr>
          <w:p w14:paraId="6EF1B16E">
            <w:r>
              <w:t>Babich 2021</w:t>
            </w:r>
          </w:p>
        </w:tc>
        <w:tc>
          <w:tcPr>
            <w:tcW w:w="306" w:type="pct"/>
            <w:tcBorders>
              <w:top w:val="nil"/>
              <w:left w:val="nil"/>
              <w:bottom w:val="nil"/>
              <w:right w:val="nil"/>
            </w:tcBorders>
            <w:noWrap/>
            <w:vAlign w:val="center"/>
          </w:tcPr>
          <w:p w14:paraId="4930B95A">
            <w:r>
              <w:t>Retrospective</w:t>
            </w:r>
            <w:r>
              <w:br w:type="textWrapping"/>
            </w:r>
            <w:r>
              <w:t>observational cohort study</w:t>
            </w:r>
          </w:p>
        </w:tc>
        <w:tc>
          <w:tcPr>
            <w:tcW w:w="305" w:type="pct"/>
            <w:tcBorders>
              <w:top w:val="nil"/>
              <w:left w:val="nil"/>
              <w:bottom w:val="nil"/>
              <w:right w:val="nil"/>
            </w:tcBorders>
            <w:noWrap/>
            <w:vAlign w:val="center"/>
          </w:tcPr>
          <w:p w14:paraId="6D439D37">
            <w:r>
              <w:t>Europe</w:t>
            </w:r>
          </w:p>
        </w:tc>
        <w:tc>
          <w:tcPr>
            <w:tcW w:w="355" w:type="pct"/>
            <w:tcBorders>
              <w:top w:val="nil"/>
              <w:left w:val="nil"/>
              <w:bottom w:val="nil"/>
              <w:right w:val="nil"/>
            </w:tcBorders>
            <w:noWrap/>
            <w:vAlign w:val="center"/>
          </w:tcPr>
          <w:p w14:paraId="55F339EB">
            <w:r>
              <w:t>I: 276; C: 843</w:t>
            </w:r>
          </w:p>
        </w:tc>
        <w:tc>
          <w:tcPr>
            <w:tcW w:w="406" w:type="pct"/>
            <w:tcBorders>
              <w:top w:val="nil"/>
              <w:left w:val="nil"/>
              <w:bottom w:val="nil"/>
              <w:right w:val="nil"/>
            </w:tcBorders>
            <w:noWrap/>
            <w:vAlign w:val="center"/>
          </w:tcPr>
          <w:p w14:paraId="6F01DEC9">
            <w:r>
              <w:t>Adult</w:t>
            </w:r>
          </w:p>
        </w:tc>
        <w:tc>
          <w:tcPr>
            <w:tcW w:w="661" w:type="pct"/>
            <w:tcBorders>
              <w:top w:val="nil"/>
              <w:left w:val="nil"/>
              <w:bottom w:val="nil"/>
              <w:right w:val="nil"/>
            </w:tcBorders>
            <w:noWrap/>
            <w:vAlign w:val="center"/>
          </w:tcPr>
          <w:p w14:paraId="35CCACDF">
            <w:r>
              <w:t>PA</w:t>
            </w:r>
          </w:p>
        </w:tc>
        <w:tc>
          <w:tcPr>
            <w:tcW w:w="660" w:type="pct"/>
            <w:tcBorders>
              <w:top w:val="nil"/>
              <w:left w:val="nil"/>
              <w:bottom w:val="nil"/>
              <w:right w:val="nil"/>
            </w:tcBorders>
            <w:noWrap/>
            <w:vAlign w:val="center"/>
          </w:tcPr>
          <w:p w14:paraId="0810B790">
            <w:r>
              <w:t>Bacteremia</w:t>
            </w:r>
          </w:p>
        </w:tc>
        <w:tc>
          <w:tcPr>
            <w:tcW w:w="508" w:type="pct"/>
            <w:tcBorders>
              <w:top w:val="nil"/>
              <w:left w:val="nil"/>
              <w:bottom w:val="nil"/>
              <w:right w:val="nil"/>
            </w:tcBorders>
            <w:noWrap/>
            <w:vAlign w:val="center"/>
          </w:tcPr>
          <w:p w14:paraId="045ECCE8">
            <w:r>
              <w:t>Combination group</w:t>
            </w:r>
          </w:p>
        </w:tc>
        <w:tc>
          <w:tcPr>
            <w:tcW w:w="660" w:type="pct"/>
            <w:tcBorders>
              <w:top w:val="nil"/>
              <w:left w:val="nil"/>
              <w:bottom w:val="nil"/>
              <w:right w:val="nil"/>
            </w:tcBorders>
            <w:noWrap/>
            <w:vAlign w:val="center"/>
          </w:tcPr>
          <w:p w14:paraId="43E79F99">
            <w:r>
              <w:t>More than one appropriate antimicrobial agent. b-lactam plus aminoglyco side or quinolone combination therapy (59% aminoglycoside and 41% quinolone).</w:t>
            </w:r>
          </w:p>
        </w:tc>
        <w:tc>
          <w:tcPr>
            <w:tcW w:w="457" w:type="pct"/>
            <w:tcBorders>
              <w:top w:val="nil"/>
              <w:left w:val="nil"/>
              <w:bottom w:val="nil"/>
              <w:right w:val="nil"/>
            </w:tcBorders>
            <w:noWrap/>
            <w:vAlign w:val="center"/>
          </w:tcPr>
          <w:p w14:paraId="27E276B7">
            <w:r>
              <w:t>Monotherapy</w:t>
            </w:r>
          </w:p>
        </w:tc>
        <w:tc>
          <w:tcPr>
            <w:tcW w:w="429" w:type="pct"/>
            <w:tcBorders>
              <w:top w:val="nil"/>
              <w:left w:val="nil"/>
              <w:bottom w:val="nil"/>
              <w:right w:val="nil"/>
            </w:tcBorders>
            <w:noWrap/>
            <w:vAlign w:val="center"/>
          </w:tcPr>
          <w:p w14:paraId="35F124EB">
            <w:r>
              <w:t>b-lactam</w:t>
            </w:r>
          </w:p>
        </w:tc>
      </w:tr>
      <w:tr w14:paraId="1A0C5F65">
        <w:tblPrEx>
          <w:tblCellMar>
            <w:top w:w="0" w:type="dxa"/>
            <w:left w:w="108" w:type="dxa"/>
            <w:bottom w:w="0" w:type="dxa"/>
            <w:right w:w="108" w:type="dxa"/>
          </w:tblCellMar>
        </w:tblPrEx>
        <w:trPr>
          <w:trHeight w:val="290" w:hRule="atLeast"/>
        </w:trPr>
        <w:tc>
          <w:tcPr>
            <w:tcW w:w="254" w:type="pct"/>
            <w:tcBorders>
              <w:top w:val="nil"/>
              <w:left w:val="nil"/>
              <w:bottom w:val="single" w:color="auto" w:sz="12" w:space="0"/>
              <w:right w:val="nil"/>
            </w:tcBorders>
            <w:noWrap/>
            <w:vAlign w:val="center"/>
          </w:tcPr>
          <w:p w14:paraId="5D5BEA61">
            <w:r>
              <w:t>Albasanz Puig 2022</w:t>
            </w:r>
          </w:p>
        </w:tc>
        <w:tc>
          <w:tcPr>
            <w:tcW w:w="306" w:type="pct"/>
            <w:tcBorders>
              <w:top w:val="nil"/>
              <w:left w:val="nil"/>
              <w:bottom w:val="single" w:color="auto" w:sz="12" w:space="0"/>
              <w:right w:val="nil"/>
            </w:tcBorders>
            <w:noWrap/>
            <w:vAlign w:val="center"/>
          </w:tcPr>
          <w:p w14:paraId="2A3B82E7">
            <w:r>
              <w:t xml:space="preserve"> Retrospective cohort study</w:t>
            </w:r>
          </w:p>
        </w:tc>
        <w:tc>
          <w:tcPr>
            <w:tcW w:w="305" w:type="pct"/>
            <w:tcBorders>
              <w:top w:val="nil"/>
              <w:left w:val="nil"/>
              <w:bottom w:val="single" w:color="auto" w:sz="12" w:space="0"/>
              <w:right w:val="nil"/>
            </w:tcBorders>
            <w:noWrap/>
            <w:vAlign w:val="center"/>
          </w:tcPr>
          <w:p w14:paraId="48198E77">
            <w:r>
              <w:t>12 countries</w:t>
            </w:r>
          </w:p>
        </w:tc>
        <w:tc>
          <w:tcPr>
            <w:tcW w:w="355" w:type="pct"/>
            <w:tcBorders>
              <w:top w:val="nil"/>
              <w:left w:val="nil"/>
              <w:bottom w:val="single" w:color="auto" w:sz="12" w:space="0"/>
              <w:right w:val="nil"/>
            </w:tcBorders>
            <w:noWrap/>
            <w:vAlign w:val="center"/>
          </w:tcPr>
          <w:p w14:paraId="177B4E10">
            <w:r>
              <w:t>I: 79; N: 147</w:t>
            </w:r>
          </w:p>
        </w:tc>
        <w:tc>
          <w:tcPr>
            <w:tcW w:w="406" w:type="pct"/>
            <w:tcBorders>
              <w:top w:val="nil"/>
              <w:left w:val="nil"/>
              <w:bottom w:val="single" w:color="auto" w:sz="12" w:space="0"/>
              <w:right w:val="nil"/>
            </w:tcBorders>
            <w:noWrap/>
            <w:vAlign w:val="center"/>
          </w:tcPr>
          <w:p w14:paraId="706E85B0">
            <w:r>
              <w:t>≥18 years</w:t>
            </w:r>
          </w:p>
        </w:tc>
        <w:tc>
          <w:tcPr>
            <w:tcW w:w="661" w:type="pct"/>
            <w:tcBorders>
              <w:top w:val="nil"/>
              <w:left w:val="nil"/>
              <w:bottom w:val="single" w:color="auto" w:sz="12" w:space="0"/>
              <w:right w:val="nil"/>
            </w:tcBorders>
            <w:noWrap/>
            <w:vAlign w:val="center"/>
          </w:tcPr>
          <w:p w14:paraId="5B0BB4E3">
            <w:r>
              <w:t>PA: MDR-PA:17.7% (52/294); CR-PA: 30.6% (90/294)</w:t>
            </w:r>
          </w:p>
        </w:tc>
        <w:tc>
          <w:tcPr>
            <w:tcW w:w="660" w:type="pct"/>
            <w:tcBorders>
              <w:top w:val="nil"/>
              <w:left w:val="nil"/>
              <w:bottom w:val="single" w:color="auto" w:sz="12" w:space="0"/>
              <w:right w:val="nil"/>
            </w:tcBorders>
            <w:noWrap/>
            <w:vAlign w:val="center"/>
          </w:tcPr>
          <w:p w14:paraId="6B273D5B">
            <w:r>
              <w:t>Neutropenic Cancer Patients with PA bacteremic pneumonia</w:t>
            </w:r>
          </w:p>
        </w:tc>
        <w:tc>
          <w:tcPr>
            <w:tcW w:w="508" w:type="pct"/>
            <w:tcBorders>
              <w:top w:val="nil"/>
              <w:left w:val="nil"/>
              <w:bottom w:val="single" w:color="auto" w:sz="12" w:space="0"/>
              <w:right w:val="nil"/>
            </w:tcBorders>
            <w:noWrap/>
            <w:vAlign w:val="center"/>
          </w:tcPr>
          <w:p w14:paraId="5B69C48B">
            <w:r>
              <w:t>Combination group</w:t>
            </w:r>
          </w:p>
        </w:tc>
        <w:tc>
          <w:tcPr>
            <w:tcW w:w="660" w:type="pct"/>
            <w:tcBorders>
              <w:top w:val="nil"/>
              <w:left w:val="nil"/>
              <w:bottom w:val="single" w:color="auto" w:sz="12" w:space="0"/>
              <w:right w:val="nil"/>
            </w:tcBorders>
            <w:noWrap/>
            <w:vAlign w:val="center"/>
          </w:tcPr>
          <w:p w14:paraId="03A5E556">
            <w:r>
              <w:t>Appropriate empirical treatment：</w:t>
            </w:r>
            <w:r>
              <w:br w:type="textWrapping"/>
            </w:r>
            <w:r>
              <w:t>β-lactam + Aminoglycoside（AG）; β-lactam + non-AG， Monotherapy： Piperacillin/tazobactam，Anti-pseudomonal carbapenems (imipenem, meropenem)， Anti-pseudomonal cephalosporins， Anti-pseudomonal cephalosporins， Anti-pseudomonal cephalosporins</w:t>
            </w:r>
          </w:p>
        </w:tc>
        <w:tc>
          <w:tcPr>
            <w:tcW w:w="457" w:type="pct"/>
            <w:tcBorders>
              <w:top w:val="nil"/>
              <w:left w:val="nil"/>
              <w:bottom w:val="single" w:color="auto" w:sz="12" w:space="0"/>
              <w:right w:val="nil"/>
            </w:tcBorders>
            <w:noWrap/>
            <w:vAlign w:val="center"/>
          </w:tcPr>
          <w:p w14:paraId="0E5BC9BF">
            <w:r>
              <w:t>Monotherapy</w:t>
            </w:r>
          </w:p>
        </w:tc>
        <w:tc>
          <w:tcPr>
            <w:tcW w:w="429" w:type="pct"/>
            <w:tcBorders>
              <w:top w:val="nil"/>
              <w:left w:val="nil"/>
              <w:bottom w:val="single" w:color="auto" w:sz="12" w:space="0"/>
              <w:right w:val="nil"/>
            </w:tcBorders>
            <w:noWrap/>
            <w:vAlign w:val="center"/>
          </w:tcPr>
          <w:p w14:paraId="72574C05">
            <w:r>
              <w:t>Appropriate empirical treatment</w:t>
            </w:r>
          </w:p>
        </w:tc>
      </w:tr>
      <w:tr w14:paraId="0C941AE2">
        <w:tblPrEx>
          <w:tblCellMar>
            <w:top w:w="0" w:type="dxa"/>
            <w:left w:w="108" w:type="dxa"/>
            <w:bottom w:w="0" w:type="dxa"/>
            <w:right w:w="108" w:type="dxa"/>
          </w:tblCellMar>
        </w:tblPrEx>
        <w:trPr>
          <w:trHeight w:val="280" w:hRule="atLeast"/>
        </w:trPr>
        <w:tc>
          <w:tcPr>
            <w:tcW w:w="5000" w:type="pct"/>
            <w:gridSpan w:val="11"/>
            <w:tcBorders>
              <w:top w:val="nil"/>
              <w:left w:val="nil"/>
              <w:bottom w:val="nil"/>
              <w:right w:val="nil"/>
            </w:tcBorders>
            <w:noWrap/>
          </w:tcPr>
          <w:p w14:paraId="67B457AB">
            <w:r>
              <w:t>I: Intervention; C: comparison; XDR: extensively drug-resistant PA: Pseudomonas aeruginosa; IMI/REL: imipenem/relebactam; HAP: hospitalacquired pneumonia; VAP: ventilator-associated pneumonia; cIAIs: complicated intraabdominal infections; MDR: multidrug-resistant; CR: carbapenem-resistant; MIU: million unit</w:t>
            </w:r>
          </w:p>
        </w:tc>
      </w:tr>
    </w:tbl>
    <w:p w14:paraId="1392D464">
      <w:pPr>
        <w:sectPr>
          <w:pgSz w:w="16838" w:h="11906" w:orient="landscape"/>
          <w:pgMar w:top="1797" w:right="1440" w:bottom="1797" w:left="1440" w:header="851" w:footer="992" w:gutter="0"/>
          <w:pgBorders>
            <w:top w:val="none" w:sz="0" w:space="0"/>
            <w:left w:val="none" w:sz="0" w:space="0"/>
            <w:bottom w:val="none" w:sz="0" w:space="0"/>
            <w:right w:val="none" w:sz="0" w:space="0"/>
          </w:pgBorders>
          <w:cols w:space="425" w:num="1"/>
          <w:docGrid w:type="lines" w:linePitch="312" w:charSpace="0"/>
        </w:sectPr>
      </w:pPr>
    </w:p>
    <w:p w14:paraId="51BB6CDE">
      <w:r>
        <w:rPr>
          <w:rStyle w:val="40"/>
        </w:rPr>
        <w:t>附图1. 肺恶化相关指标</w:t>
      </w:r>
      <w:r>
        <w:drawing>
          <wp:inline distT="0" distB="0" distL="114300" distR="114300">
            <wp:extent cx="5268595" cy="2063750"/>
            <wp:effectExtent l="0" t="0" r="1905" b="6350"/>
            <wp:docPr id="38" name="图片 38" descr="肺恶化-Forest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肺恶化-Forest plot"/>
                    <pic:cNvPicPr>
                      <a:picLocks noChangeAspect="1"/>
                    </pic:cNvPicPr>
                  </pic:nvPicPr>
                  <pic:blipFill>
                    <a:blip r:embed="rId12"/>
                    <a:stretch>
                      <a:fillRect/>
                    </a:stretch>
                  </pic:blipFill>
                  <pic:spPr>
                    <a:xfrm>
                      <a:off x="0" y="0"/>
                      <a:ext cx="5268595" cy="2063750"/>
                    </a:xfrm>
                    <a:prstGeom prst="rect">
                      <a:avLst/>
                    </a:prstGeom>
                  </pic:spPr>
                </pic:pic>
              </a:graphicData>
            </a:graphic>
          </wp:inline>
        </w:drawing>
      </w:r>
    </w:p>
    <w:p w14:paraId="436B5548">
      <w:pPr>
        <w:pStyle w:val="39"/>
      </w:pPr>
      <w:r>
        <w:t>附图2. 不良事件结局指标</w:t>
      </w:r>
    </w:p>
    <w:p w14:paraId="18973015">
      <w:pPr>
        <w:pStyle w:val="39"/>
      </w:pPr>
      <w:r>
        <w:drawing>
          <wp:inline distT="0" distB="0" distL="114300" distR="114300">
            <wp:extent cx="2721610" cy="8065135"/>
            <wp:effectExtent l="0" t="0" r="8890" b="15240"/>
            <wp:docPr id="39" name="图片 39" descr="不良事件Forest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不良事件Forest plot"/>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721610" cy="8065135"/>
                    </a:xfrm>
                    <a:prstGeom prst="rect">
                      <a:avLst/>
                    </a:prstGeom>
                  </pic:spPr>
                </pic:pic>
              </a:graphicData>
            </a:graphic>
          </wp:inline>
        </w:drawing>
      </w:r>
    </w:p>
    <w:p w14:paraId="24C22878">
      <w:pPr>
        <w:pStyle w:val="39"/>
        <w:rPr>
          <w:rFonts w:hint="eastAsia"/>
        </w:rPr>
      </w:pPr>
      <w:bookmarkStart w:id="4" w:name="_GoBack"/>
      <w:bookmarkEnd w:id="4"/>
      <w:r>
        <w:rPr>
          <w:rFonts w:hint="eastAsia"/>
        </w:rPr>
        <w:t>附图3.肺功能变化图</w:t>
      </w:r>
      <w:r>
        <w:drawing>
          <wp:inline distT="0" distB="0" distL="114300" distR="114300">
            <wp:extent cx="5264150" cy="3711575"/>
            <wp:effectExtent l="0" t="0" r="6350" b="9525"/>
            <wp:docPr id="40" name="图片 40" descr="囊性纤维化患者肺功能变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囊性纤维化患者肺功能变化"/>
                    <pic:cNvPicPr>
                      <a:picLocks noChangeAspect="1"/>
                    </pic:cNvPicPr>
                  </pic:nvPicPr>
                  <pic:blipFill>
                    <a:blip r:embed="rId15"/>
                    <a:stretch>
                      <a:fillRect/>
                    </a:stretch>
                  </pic:blipFill>
                  <pic:spPr>
                    <a:xfrm>
                      <a:off x="0" y="0"/>
                      <a:ext cx="5264150" cy="3711575"/>
                    </a:xfrm>
                    <a:prstGeom prst="rect">
                      <a:avLst/>
                    </a:prstGeom>
                  </pic:spPr>
                </pic:pic>
              </a:graphicData>
            </a:graphic>
          </wp:inline>
        </w:drawing>
      </w:r>
    </w:p>
    <w:p w14:paraId="14A8FFD8">
      <w:pPr>
        <w:pStyle w:val="39"/>
        <w:rPr>
          <w:rFonts w:hint="eastAsia"/>
        </w:rPr>
      </w:pPr>
      <w:r>
        <w:t>附图4. 不良反应</w:t>
      </w:r>
      <w:r>
        <w:drawing>
          <wp:inline distT="0" distB="0" distL="114300" distR="114300">
            <wp:extent cx="5269230" cy="3215005"/>
            <wp:effectExtent l="0" t="0" r="1270" b="10795"/>
            <wp:docPr id="53" name="图片 53" descr="不良反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不良反应"/>
                    <pic:cNvPicPr>
                      <a:picLocks noChangeAspect="1"/>
                    </pic:cNvPicPr>
                  </pic:nvPicPr>
                  <pic:blipFill>
                    <a:blip r:embed="rId16"/>
                    <a:stretch>
                      <a:fillRect/>
                    </a:stretch>
                  </pic:blipFill>
                  <pic:spPr>
                    <a:xfrm>
                      <a:off x="0" y="0"/>
                      <a:ext cx="5269230" cy="3215005"/>
                    </a:xfrm>
                    <a:prstGeom prst="rect">
                      <a:avLst/>
                    </a:prstGeom>
                  </pic:spPr>
                </pic:pic>
              </a:graphicData>
            </a:graphic>
          </wp:inline>
        </w:drawing>
      </w:r>
    </w:p>
    <w:p w14:paraId="6B0EE24E">
      <w:pPr>
        <w:pStyle w:val="39"/>
        <w:rPr>
          <w:rFonts w:hint="eastAsia"/>
        </w:rPr>
      </w:pPr>
      <w:r>
        <w:t>附图5. 铜绿假单胞菌新检出数</w:t>
      </w:r>
      <w:r>
        <w:drawing>
          <wp:inline distT="0" distB="0" distL="114300" distR="114300">
            <wp:extent cx="5271135" cy="1888490"/>
            <wp:effectExtent l="0" t="0" r="12065" b="3810"/>
            <wp:docPr id="49" name="图片 49" descr="PA新检出数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PA新检出数目"/>
                    <pic:cNvPicPr>
                      <a:picLocks noChangeAspect="1"/>
                    </pic:cNvPicPr>
                  </pic:nvPicPr>
                  <pic:blipFill>
                    <a:blip r:embed="rId17"/>
                    <a:stretch>
                      <a:fillRect/>
                    </a:stretch>
                  </pic:blipFill>
                  <pic:spPr>
                    <a:xfrm>
                      <a:off x="0" y="0"/>
                      <a:ext cx="5271135" cy="1888490"/>
                    </a:xfrm>
                    <a:prstGeom prst="rect">
                      <a:avLst/>
                    </a:prstGeom>
                  </pic:spPr>
                </pic:pic>
              </a:graphicData>
            </a:graphic>
          </wp:inline>
        </w:drawing>
      </w:r>
    </w:p>
    <w:p w14:paraId="44C338E6">
      <w:pPr>
        <w:pStyle w:val="39"/>
        <w:rPr>
          <w:rFonts w:hint="eastAsia"/>
        </w:rPr>
      </w:pPr>
      <w:r>
        <w:t>附图6.不良反应</w:t>
      </w:r>
      <w:r>
        <w:drawing>
          <wp:inline distT="0" distB="0" distL="114300" distR="114300">
            <wp:extent cx="5269230" cy="3215005"/>
            <wp:effectExtent l="0" t="0" r="1270" b="10795"/>
            <wp:docPr id="486891082" name="图片 486891082" descr="不良反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91082" name="图片 486891082" descr="不良反应"/>
                    <pic:cNvPicPr>
                      <a:picLocks noChangeAspect="1"/>
                    </pic:cNvPicPr>
                  </pic:nvPicPr>
                  <pic:blipFill>
                    <a:blip r:embed="rId16"/>
                    <a:stretch>
                      <a:fillRect/>
                    </a:stretch>
                  </pic:blipFill>
                  <pic:spPr>
                    <a:xfrm>
                      <a:off x="0" y="0"/>
                      <a:ext cx="5269230" cy="3215005"/>
                    </a:xfrm>
                    <a:prstGeom prst="rect">
                      <a:avLst/>
                    </a:prstGeom>
                  </pic:spPr>
                </pic:pic>
              </a:graphicData>
            </a:graphic>
          </wp:inline>
        </w:drawing>
      </w:r>
    </w:p>
    <w:p w14:paraId="689DA617">
      <w:pPr>
        <w:pStyle w:val="39"/>
        <w:rPr>
          <w:rFonts w:hint="eastAsia"/>
        </w:rPr>
      </w:pPr>
      <w:r>
        <w:t>附图7. 耐药性发生</w:t>
      </w:r>
      <w:r>
        <w:drawing>
          <wp:inline distT="0" distB="0" distL="114300" distR="114300">
            <wp:extent cx="5274310" cy="2139950"/>
            <wp:effectExtent l="0" t="0" r="2540" b="0"/>
            <wp:docPr id="33" name="图片 3" descr="Forest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Forest plot"/>
                    <pic:cNvPicPr>
                      <a:picLocks noChangeAspect="1"/>
                    </pic:cNvPicPr>
                  </pic:nvPicPr>
                  <pic:blipFill>
                    <a:blip r:embed="rId18"/>
                    <a:stretch>
                      <a:fillRect/>
                    </a:stretch>
                  </pic:blipFill>
                  <pic:spPr>
                    <a:xfrm>
                      <a:off x="0" y="0"/>
                      <a:ext cx="5274310" cy="2140408"/>
                    </a:xfrm>
                    <a:prstGeom prst="rect">
                      <a:avLst/>
                    </a:prstGeom>
                  </pic:spPr>
                </pic:pic>
              </a:graphicData>
            </a:graphic>
          </wp:inline>
        </w:drawing>
      </w:r>
    </w:p>
    <w:p w14:paraId="02F9BFE3">
      <w:pPr>
        <w:pStyle w:val="39"/>
        <w:rPr>
          <w:rFonts w:hint="eastAsia"/>
        </w:rPr>
      </w:pPr>
      <w:r>
        <w:t>附图8. 不良事件发生率</w:t>
      </w:r>
      <w:r>
        <w:drawing>
          <wp:inline distT="0" distB="0" distL="114300" distR="114300">
            <wp:extent cx="5274310" cy="5809615"/>
            <wp:effectExtent l="0" t="0" r="2540" b="635"/>
            <wp:docPr id="34"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6"/>
                    <pic:cNvPicPr>
                      <a:picLocks noChangeAspect="1"/>
                    </pic:cNvPicPr>
                  </pic:nvPicPr>
                  <pic:blipFill>
                    <a:blip r:embed="rId19"/>
                    <a:stretch>
                      <a:fillRect/>
                    </a:stretch>
                  </pic:blipFill>
                  <pic:spPr>
                    <a:xfrm>
                      <a:off x="0" y="0"/>
                      <a:ext cx="5274310" cy="5810046"/>
                    </a:xfrm>
                    <a:prstGeom prst="rect">
                      <a:avLst/>
                    </a:prstGeom>
                  </pic:spPr>
                </pic:pic>
              </a:graphicData>
            </a:graphic>
          </wp:inline>
        </w:drawing>
      </w:r>
    </w:p>
    <w:p w14:paraId="0B7EFAB1"/>
    <w:sectPr>
      <w:pgSz w:w="11906" w:h="16838"/>
      <w:pgMar w:top="1440" w:right="1797" w:bottom="1440" w:left="1797"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F8C1A">
    <w:pPr>
      <w:pStyle w:val="11"/>
      <w:spacing w:before="240" w:after="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7B02C">
    <w:pPr>
      <w:pStyle w:val="11"/>
      <w:spacing w:before="240" w:after="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1AF80">
    <w:pPr>
      <w:pStyle w:val="11"/>
      <w:spacing w:before="240" w:after="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6E197">
    <w:pPr>
      <w:pStyle w:val="12"/>
      <w:spacing w:before="240" w:after="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98BCB">
    <w:pPr>
      <w:pStyle w:val="12"/>
      <w:spacing w:before="240" w:after="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86C89">
    <w:pPr>
      <w:pStyle w:val="12"/>
      <w:spacing w:before="240" w:after="2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FF3"/>
    <w:rsid w:val="0012121B"/>
    <w:rsid w:val="00133FED"/>
    <w:rsid w:val="001B5646"/>
    <w:rsid w:val="0021717B"/>
    <w:rsid w:val="002B5911"/>
    <w:rsid w:val="002E7D0C"/>
    <w:rsid w:val="00335B88"/>
    <w:rsid w:val="003B1E33"/>
    <w:rsid w:val="003E6FF3"/>
    <w:rsid w:val="004D2528"/>
    <w:rsid w:val="005828DD"/>
    <w:rsid w:val="00582AAF"/>
    <w:rsid w:val="005B4874"/>
    <w:rsid w:val="005C57FF"/>
    <w:rsid w:val="00627D27"/>
    <w:rsid w:val="00657E64"/>
    <w:rsid w:val="006F55CF"/>
    <w:rsid w:val="00711A94"/>
    <w:rsid w:val="007538C5"/>
    <w:rsid w:val="00825651"/>
    <w:rsid w:val="00AB02BE"/>
    <w:rsid w:val="00AE304D"/>
    <w:rsid w:val="00B17F43"/>
    <w:rsid w:val="00B54EE4"/>
    <w:rsid w:val="00C1569C"/>
    <w:rsid w:val="00CF0349"/>
    <w:rsid w:val="00D940F9"/>
    <w:rsid w:val="00F57B00"/>
    <w:rsid w:val="0166575B"/>
    <w:rsid w:val="06E17203"/>
    <w:rsid w:val="0F934E6D"/>
    <w:rsid w:val="135477EC"/>
    <w:rsid w:val="188872A0"/>
    <w:rsid w:val="1C900E48"/>
    <w:rsid w:val="20A0299C"/>
    <w:rsid w:val="21521B0A"/>
    <w:rsid w:val="4F4E3C04"/>
    <w:rsid w:val="562B5EAA"/>
    <w:rsid w:val="5F824316"/>
    <w:rsid w:val="60D94755"/>
    <w:rsid w:val="6A411A75"/>
    <w:rsid w:val="749649DF"/>
    <w:rsid w:val="75ED2E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before="312" w:beforeLines="100" w:after="312" w:afterLines="100" w:line="240" w:lineRule="auto"/>
      <w:outlineLvl w:val="0"/>
    </w:pPr>
    <w:rPr>
      <w:rFonts w:ascii="Times New Roman" w:hAnsi="Times New Roman" w:eastAsia="宋体" w:cs="Times New Roman"/>
      <w:kern w:val="2"/>
      <w:sz w:val="18"/>
      <w:szCs w:val="18"/>
      <w:lang w:val="en-US" w:eastAsia="zh-CN" w:bidi="ar-SA"/>
      <w14:ligatures w14:val="none"/>
    </w:rPr>
  </w:style>
  <w:style w:type="paragraph" w:styleId="2">
    <w:name w:val="heading 1"/>
    <w:basedOn w:val="1"/>
    <w:next w:val="1"/>
    <w:link w:val="19"/>
    <w:qFormat/>
    <w:uiPriority w:val="9"/>
    <w:pPr>
      <w:keepNext/>
      <w:keepLines/>
      <w:spacing w:before="480" w:after="8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20"/>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1"/>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2"/>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3"/>
    <w:semiHidden/>
    <w:unhideWhenUsed/>
    <w:qFormat/>
    <w:uiPriority w:val="9"/>
    <w:pPr>
      <w:keepNext/>
      <w:keepLines/>
      <w:spacing w:before="80" w:after="40"/>
      <w:outlineLvl w:val="4"/>
    </w:pPr>
    <w:rPr>
      <w:rFonts w:cstheme="majorBidi"/>
      <w:color w:val="2F5597" w:themeColor="accent1" w:themeShade="BF"/>
      <w:sz w:val="24"/>
    </w:rPr>
  </w:style>
  <w:style w:type="paragraph" w:styleId="7">
    <w:name w:val="heading 6"/>
    <w:basedOn w:val="1"/>
    <w:next w:val="1"/>
    <w:link w:val="24"/>
    <w:semiHidden/>
    <w:unhideWhenUsed/>
    <w:qFormat/>
    <w:uiPriority w:val="9"/>
    <w:pPr>
      <w:keepNext/>
      <w:keepLines/>
      <w:spacing w:before="40" w:after="0"/>
      <w:outlineLvl w:val="5"/>
    </w:pPr>
    <w:rPr>
      <w:rFonts w:cstheme="majorBidi"/>
      <w:b/>
      <w:bCs/>
      <w:color w:val="2F5597" w:themeColor="accent1" w:themeShade="BF"/>
    </w:rPr>
  </w:style>
  <w:style w:type="paragraph" w:styleId="8">
    <w:name w:val="heading 7"/>
    <w:basedOn w:val="1"/>
    <w:next w:val="1"/>
    <w:link w:val="25"/>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6"/>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7"/>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43"/>
    <w:unhideWhenUsed/>
    <w:qFormat/>
    <w:uiPriority w:val="99"/>
    <w:pPr>
      <w:tabs>
        <w:tab w:val="center" w:pos="4153"/>
        <w:tab w:val="right" w:pos="8306"/>
      </w:tabs>
      <w:snapToGrid w:val="0"/>
    </w:pPr>
  </w:style>
  <w:style w:type="paragraph" w:styleId="12">
    <w:name w:val="header"/>
    <w:basedOn w:val="1"/>
    <w:link w:val="42"/>
    <w:unhideWhenUsed/>
    <w:qFormat/>
    <w:uiPriority w:val="99"/>
    <w:pPr>
      <w:tabs>
        <w:tab w:val="center" w:pos="4153"/>
        <w:tab w:val="right" w:pos="8306"/>
      </w:tabs>
      <w:snapToGrid w:val="0"/>
      <w:jc w:val="center"/>
    </w:pPr>
  </w:style>
  <w:style w:type="paragraph" w:styleId="13">
    <w:name w:val="Subtitle"/>
    <w:basedOn w:val="1"/>
    <w:next w:val="1"/>
    <w:link w:val="29"/>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8"/>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6">
    <w:name w:val="Table Grid"/>
    <w:basedOn w:val="1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customStyle="1" w:styleId="19">
    <w:name w:val="标题 1 字符"/>
    <w:basedOn w:val="17"/>
    <w:link w:val="2"/>
    <w:qFormat/>
    <w:uiPriority w:val="9"/>
    <w:rPr>
      <w:rFonts w:asciiTheme="majorHAnsi" w:hAnsiTheme="majorHAnsi" w:eastAsiaTheme="majorEastAsia" w:cstheme="majorBidi"/>
      <w:color w:val="2F5597" w:themeColor="accent1" w:themeShade="BF"/>
      <w:sz w:val="48"/>
      <w:szCs w:val="48"/>
    </w:rPr>
  </w:style>
  <w:style w:type="character" w:customStyle="1" w:styleId="20">
    <w:name w:val="标题 2 字符"/>
    <w:basedOn w:val="17"/>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21">
    <w:name w:val="标题 3 字符"/>
    <w:basedOn w:val="17"/>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2">
    <w:name w:val="标题 4 字符"/>
    <w:basedOn w:val="17"/>
    <w:link w:val="5"/>
    <w:semiHidden/>
    <w:qFormat/>
    <w:uiPriority w:val="9"/>
    <w:rPr>
      <w:rFonts w:cstheme="majorBidi"/>
      <w:color w:val="2F5597" w:themeColor="accent1" w:themeShade="BF"/>
      <w:sz w:val="28"/>
      <w:szCs w:val="28"/>
    </w:rPr>
  </w:style>
  <w:style w:type="character" w:customStyle="1" w:styleId="23">
    <w:name w:val="标题 5 字符"/>
    <w:basedOn w:val="17"/>
    <w:link w:val="6"/>
    <w:semiHidden/>
    <w:qFormat/>
    <w:uiPriority w:val="9"/>
    <w:rPr>
      <w:rFonts w:cstheme="majorBidi"/>
      <w:color w:val="2F5597" w:themeColor="accent1" w:themeShade="BF"/>
      <w:sz w:val="24"/>
    </w:rPr>
  </w:style>
  <w:style w:type="character" w:customStyle="1" w:styleId="24">
    <w:name w:val="标题 6 字符"/>
    <w:basedOn w:val="17"/>
    <w:link w:val="7"/>
    <w:semiHidden/>
    <w:qFormat/>
    <w:uiPriority w:val="9"/>
    <w:rPr>
      <w:rFonts w:cstheme="majorBidi"/>
      <w:b/>
      <w:bCs/>
      <w:color w:val="2F5597" w:themeColor="accent1" w:themeShade="BF"/>
    </w:rPr>
  </w:style>
  <w:style w:type="character" w:customStyle="1" w:styleId="25">
    <w:name w:val="标题 7 字符"/>
    <w:basedOn w:val="17"/>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6">
    <w:name w:val="标题 8 字符"/>
    <w:basedOn w:val="17"/>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7">
    <w:name w:val="标题 9 字符"/>
    <w:basedOn w:val="17"/>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标题 字符"/>
    <w:basedOn w:val="17"/>
    <w:link w:val="14"/>
    <w:qFormat/>
    <w:uiPriority w:val="10"/>
    <w:rPr>
      <w:rFonts w:asciiTheme="majorHAnsi" w:hAnsiTheme="majorHAnsi" w:eastAsiaTheme="majorEastAsia" w:cstheme="majorBidi"/>
      <w:spacing w:val="-10"/>
      <w:kern w:val="28"/>
      <w:sz w:val="56"/>
      <w:szCs w:val="56"/>
    </w:rPr>
  </w:style>
  <w:style w:type="character" w:customStyle="1" w:styleId="29">
    <w:name w:val="副标题 字符"/>
    <w:basedOn w:val="17"/>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0">
    <w:name w:val="Quote"/>
    <w:basedOn w:val="1"/>
    <w:next w:val="1"/>
    <w:link w:val="31"/>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1">
    <w:name w:val="引用 字符"/>
    <w:basedOn w:val="17"/>
    <w:link w:val="30"/>
    <w:qFormat/>
    <w:uiPriority w:val="29"/>
    <w:rPr>
      <w:i/>
      <w:iCs/>
      <w:color w:val="404040" w:themeColor="text1" w:themeTint="BF"/>
      <w14:textFill>
        <w14:solidFill>
          <w14:schemeClr w14:val="tx1">
            <w14:lumMod w14:val="75000"/>
            <w14:lumOff w14:val="25000"/>
          </w14:schemeClr>
        </w14:solidFill>
      </w14:textFill>
    </w:rPr>
  </w:style>
  <w:style w:type="paragraph" w:styleId="32">
    <w:name w:val="List Paragraph"/>
    <w:basedOn w:val="1"/>
    <w:qFormat/>
    <w:uiPriority w:val="34"/>
    <w:pPr>
      <w:ind w:left="720"/>
      <w:contextualSpacing/>
    </w:pPr>
  </w:style>
  <w:style w:type="character" w:customStyle="1" w:styleId="33">
    <w:name w:val="Intense Emphasis"/>
    <w:basedOn w:val="17"/>
    <w:qFormat/>
    <w:uiPriority w:val="21"/>
    <w:rPr>
      <w:i/>
      <w:iCs/>
      <w:color w:val="2F5597" w:themeColor="accent1" w:themeShade="BF"/>
    </w:rPr>
  </w:style>
  <w:style w:type="paragraph" w:styleId="34">
    <w:name w:val="Intense Quote"/>
    <w:basedOn w:val="1"/>
    <w:next w:val="1"/>
    <w:link w:val="35"/>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5">
    <w:name w:val="明显引用 字符"/>
    <w:basedOn w:val="17"/>
    <w:link w:val="34"/>
    <w:qFormat/>
    <w:uiPriority w:val="30"/>
    <w:rPr>
      <w:i/>
      <w:iCs/>
      <w:color w:val="2F5597" w:themeColor="accent1" w:themeShade="BF"/>
    </w:rPr>
  </w:style>
  <w:style w:type="character" w:customStyle="1" w:styleId="36">
    <w:name w:val="Intense Reference"/>
    <w:basedOn w:val="17"/>
    <w:qFormat/>
    <w:uiPriority w:val="32"/>
    <w:rPr>
      <w:b/>
      <w:bCs/>
      <w:smallCaps/>
      <w:color w:val="2F5597" w:themeColor="accent1" w:themeShade="BF"/>
      <w:spacing w:val="5"/>
    </w:rPr>
  </w:style>
  <w:style w:type="paragraph" w:customStyle="1" w:styleId="37">
    <w:name w:val="表格标题"/>
    <w:basedOn w:val="1"/>
    <w:next w:val="1"/>
    <w:link w:val="38"/>
    <w:autoRedefine/>
    <w:qFormat/>
    <w:uiPriority w:val="0"/>
    <w:pPr>
      <w:keepNext/>
      <w:keepLines/>
      <w:spacing w:after="156" w:afterLines="50" w:line="360" w:lineRule="auto"/>
      <w:outlineLvl w:val="1"/>
    </w:pPr>
    <w:rPr>
      <w:rFonts w:ascii="Arial" w:hAnsi="Arial"/>
      <w:bCs/>
      <w:iCs/>
      <w:sz w:val="24"/>
    </w:rPr>
  </w:style>
  <w:style w:type="character" w:customStyle="1" w:styleId="38">
    <w:name w:val="表格标题 Char"/>
    <w:link w:val="37"/>
    <w:autoRedefine/>
    <w:qFormat/>
    <w:uiPriority w:val="0"/>
    <w:rPr>
      <w:rFonts w:ascii="Arial" w:hAnsi="Arial" w:eastAsia="宋体"/>
      <w:bCs/>
      <w:iCs/>
      <w:sz w:val="24"/>
      <w14:ligatures w14:val="none"/>
    </w:rPr>
  </w:style>
  <w:style w:type="paragraph" w:customStyle="1" w:styleId="39">
    <w:name w:val="样式1"/>
    <w:basedOn w:val="2"/>
    <w:link w:val="40"/>
    <w:autoRedefine/>
    <w:qFormat/>
    <w:uiPriority w:val="0"/>
    <w:pPr>
      <w:spacing w:before="312" w:after="312" w:line="360" w:lineRule="auto"/>
    </w:pPr>
    <w:rPr>
      <w:rFonts w:ascii="宋体" w:hAnsi="宋体" w:eastAsia="宋体"/>
      <w:b/>
      <w:color w:val="000000" w:themeColor="text1"/>
      <w:sz w:val="24"/>
      <w14:textFill>
        <w14:solidFill>
          <w14:schemeClr w14:val="tx1"/>
        </w14:solidFill>
      </w14:textFill>
    </w:rPr>
  </w:style>
  <w:style w:type="character" w:customStyle="1" w:styleId="40">
    <w:name w:val="样式1 字符"/>
    <w:basedOn w:val="19"/>
    <w:link w:val="39"/>
    <w:qFormat/>
    <w:uiPriority w:val="0"/>
    <w:rPr>
      <w:rFonts w:ascii="宋体" w:hAnsi="宋体" w:eastAsia="宋体" w:cstheme="majorBidi"/>
      <w:b/>
      <w:color w:val="000000" w:themeColor="text1"/>
      <w:sz w:val="24"/>
      <w:szCs w:val="48"/>
      <w14:textFill>
        <w14:solidFill>
          <w14:schemeClr w14:val="tx1"/>
        </w14:solidFill>
      </w14:textFill>
      <w14:ligatures w14:val="none"/>
    </w:rPr>
  </w:style>
  <w:style w:type="paragraph" w:customStyle="1" w:styleId="41">
    <w:name w:val="图片标题"/>
    <w:basedOn w:val="1"/>
    <w:next w:val="1"/>
    <w:qFormat/>
    <w:uiPriority w:val="0"/>
    <w:pPr>
      <w:spacing w:before="50" w:beforeLines="50" w:after="100"/>
      <w:ind w:right="420" w:rightChars="200"/>
      <w:outlineLvl w:val="2"/>
    </w:pPr>
    <w:rPr>
      <w:rFonts w:asciiTheme="minorHAnsi" w:hAnsiTheme="minorHAnsi" w:eastAsiaTheme="minorEastAsia"/>
      <w:b/>
      <w:sz w:val="24"/>
    </w:rPr>
  </w:style>
  <w:style w:type="character" w:customStyle="1" w:styleId="42">
    <w:name w:val="页眉 字符"/>
    <w:basedOn w:val="17"/>
    <w:link w:val="12"/>
    <w:uiPriority w:val="99"/>
    <w:rPr>
      <w:rFonts w:ascii="Times New Roman" w:hAnsi="Times New Roman" w:eastAsia="宋体"/>
      <w:sz w:val="18"/>
      <w:szCs w:val="18"/>
      <w14:ligatures w14:val="none"/>
    </w:rPr>
  </w:style>
  <w:style w:type="character" w:customStyle="1" w:styleId="43">
    <w:name w:val="页脚 字符"/>
    <w:basedOn w:val="17"/>
    <w:link w:val="11"/>
    <w:qFormat/>
    <w:uiPriority w:val="99"/>
    <w:rPr>
      <w:rFonts w:ascii="Times New Roman" w:hAnsi="Times New Roman" w:eastAsia="宋体"/>
      <w:sz w:val="18"/>
      <w:szCs w:val="18"/>
      <w14:ligatures w14:val="none"/>
    </w:rPr>
  </w:style>
  <w:style w:type="character" w:customStyle="1" w:styleId="44">
    <w:name w:val="font01"/>
    <w:basedOn w:val="17"/>
    <w:autoRedefine/>
    <w:qFormat/>
    <w:uiPriority w:val="0"/>
    <w:rPr>
      <w:rFonts w:hint="eastAsia" w:ascii="宋体" w:hAnsi="宋体" w:eastAsia="宋体" w:cs="宋体"/>
      <w:color w:val="000000"/>
      <w:sz w:val="24"/>
      <w:szCs w:val="24"/>
      <w:u w:val="none"/>
    </w:rPr>
  </w:style>
  <w:style w:type="character" w:customStyle="1" w:styleId="45">
    <w:name w:val="font41"/>
    <w:basedOn w:val="17"/>
    <w:autoRedefine/>
    <w:qFormat/>
    <w:uiPriority w:val="0"/>
    <w:rPr>
      <w:rFonts w:hint="default" w:ascii="Arial" w:hAnsi="Arial" w:cs="Arial"/>
      <w:color w:val="000000"/>
      <w:sz w:val="24"/>
      <w:szCs w:val="24"/>
      <w:u w:val="none"/>
    </w:rPr>
  </w:style>
  <w:style w:type="character" w:customStyle="1" w:styleId="46">
    <w:name w:val="font51"/>
    <w:basedOn w:val="17"/>
    <w:autoRedefine/>
    <w:qFormat/>
    <w:uiPriority w:val="0"/>
    <w:rPr>
      <w:rFonts w:ascii="Calibri" w:hAnsi="Calibri" w:cs="Calibri"/>
      <w:color w:val="000000"/>
      <w:sz w:val="24"/>
      <w:szCs w:val="24"/>
      <w:u w:val="none"/>
    </w:rPr>
  </w:style>
  <w:style w:type="character" w:customStyle="1" w:styleId="47">
    <w:name w:val="font31"/>
    <w:basedOn w:val="17"/>
    <w:uiPriority w:val="0"/>
    <w:rPr>
      <w:rFonts w:hint="eastAsia" w:ascii="宋体" w:hAnsi="宋体" w:eastAsia="宋体" w:cs="宋体"/>
      <w:color w:val="000000"/>
      <w:sz w:val="24"/>
      <w:szCs w:val="24"/>
      <w:u w:val="none"/>
    </w:rPr>
  </w:style>
  <w:style w:type="character" w:customStyle="1" w:styleId="48">
    <w:name w:val="font61"/>
    <w:basedOn w:val="17"/>
    <w:uiPriority w:val="0"/>
    <w:rPr>
      <w:rFonts w:ascii="Calibri" w:hAnsi="Calibri" w:cs="Calibri"/>
      <w:color w:val="000000"/>
      <w:sz w:val="24"/>
      <w:szCs w:val="24"/>
      <w:u w:val="none"/>
    </w:rPr>
  </w:style>
  <w:style w:type="character" w:customStyle="1" w:styleId="49">
    <w:name w:val="font71"/>
    <w:basedOn w:val="17"/>
    <w:uiPriority w:val="0"/>
    <w:rPr>
      <w:rFonts w:hint="default" w:ascii="Calibri" w:hAnsi="Calibri" w:cs="Calibri"/>
      <w:color w:val="000000"/>
      <w:sz w:val="24"/>
      <w:szCs w:val="24"/>
      <w:u w:val="none"/>
    </w:rPr>
  </w:style>
  <w:style w:type="character" w:customStyle="1" w:styleId="50">
    <w:name w:val="font81"/>
    <w:basedOn w:val="17"/>
    <w:uiPriority w:val="0"/>
    <w:rPr>
      <w:rFonts w:hint="eastAsia" w:ascii="宋体" w:hAnsi="宋体" w:eastAsia="宋体" w:cs="宋体"/>
      <w:color w:val="000000"/>
      <w:sz w:val="22"/>
      <w:szCs w:val="22"/>
      <w:u w:val="none"/>
    </w:rPr>
  </w:style>
  <w:style w:type="character" w:customStyle="1" w:styleId="51">
    <w:name w:val="font11"/>
    <w:basedOn w:val="17"/>
    <w:uiPriority w:val="0"/>
    <w:rPr>
      <w:rFonts w:hint="eastAsia" w:ascii="微软雅黑" w:hAnsi="微软雅黑" w:eastAsia="微软雅黑" w:cs="微软雅黑"/>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sv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51</Pages>
  <Words>3191</Words>
  <Characters>18566</Characters>
  <Lines>379</Lines>
  <Paragraphs>106</Paragraphs>
  <TotalTime>0</TotalTime>
  <ScaleCrop>false</ScaleCrop>
  <LinksUpToDate>false</LinksUpToDate>
  <CharactersWithSpaces>21189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2025-10-20T03:28:00Z</dcterms:created>
  <dc:creator>桐彤 杨</dc:creator>
  <cp:lastModifiedBy>SRS006</cp:lastModifiedBy>
  <dcterms:modified xsi:type="dcterms:W3CDTF">2025-12-03T01:42:13Z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eyJoZGlkIjoiYzY4ZmVjNTFlZmM3NzRlYjc2ZDBjZjNhOGVkNjNhZDgiLCJ1c2VySWQiOiI0NzUxOTU4MjUifQ==</vt:lpwstr>
  </property>
  <property fmtid="{D5CDD505-2E9C-101B-9397-08002B2CF9AE}" pid="3" name="KSOProductBuildVer">
    <vt:lpwstr>2052-12.1.0.23542</vt:lpwstr>
  </property>
  <property fmtid="{D5CDD505-2E9C-101B-9397-08002B2CF9AE}" pid="4" name="ICV">
    <vt:lpwstr>9660F76DA46B44C9AB500E41CF161B4C_13</vt:lpwstr>
  </property>
</Properties>
</file>